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الخياط
</w:t>
      </w:r>
    </w:p>
    <w:p>
      <w:pPr>
        <w:jc w:val="start"/>
        <w:bidi/>
      </w:pPr>
      <w:r>
        <w:rPr>
          <w:rFonts w:ascii="arial" w:hAnsi="arial" w:eastAsia="arial" w:cs="arial"/>
          <w:sz w:val="28"/>
          <w:szCs w:val="28"/>
          <w:b w:val="1"/>
          <w:bCs w:val="1"/>
          <w:rtl/>
        </w:rPr>
        <w:t xml:space="preserve">أبو القاسم الخياط
</w:t>
      </w:r>
    </w:p>
    <w:p>
      <w:pPr/>
      <w:r>
        <w:rPr/>
        <w:t xml:space="preserve">أبو القاسم الخياط جعفر بن الأسعد بن أبي القاسم بن سعد، أبو القاسم الخياط البغدادي.</w:t>
      </w:r>
    </w:p>
    <w:p/>
    <w:p>
      <w:pPr/>
      <w:r>
        <w:rPr/>
        <w:t xml:space="preserve">طلب الحديث بنفسه وسمع الكثير بعد علو سنه من أبي الفتح بن شاتيل وابن كليب ونصر الله بن عبد الرحمن القزاز وأبي الفتح محمد بن يحيى البرداني وأبي الخير أحمد بن إسماعيل القزويني وأبي الفضل مسعود بن علي بن النادر وذاكر بن كامل وابن بوسن وابن المعطوش وجماعة، ولم يزل يسمع من الشيوخ طبقة طبقة حتى سمع من أقرانه ورفقائه وحصل الأصول وكتب بخطه كثيرا مع ضعف يده ورداءة خطه وأوقف كتبه بمسجد الشريف الرندي بدار دينار وكان صدوقا حسن الأخلاق دينا قال محب الدين بن النجار: كتبت عنه، وأثنى عليه.</w:t>
      </w:r>
    </w:p>
    <w:p/>
    <w:p>
      <w:pPr/>
      <w:r>
        <w:rPr/>
        <w:t xml:space="preserve">ولد سنة سبع وأربعين وخمسمئة وتوفي سنة اثنتين وثلاثين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2026-05-04T23:12:01+03:00</dcterms:created>
  <dcterms:modified xsi:type="dcterms:W3CDTF">2026-05-04T23:12:01+03:00</dcterms:modified>
</cp:coreProperties>
</file>

<file path=docProps/custom.xml><?xml version="1.0" encoding="utf-8"?>
<Properties xmlns="http://schemas.openxmlformats.org/officeDocument/2006/custom-properties" xmlns:vt="http://schemas.openxmlformats.org/officeDocument/2006/docPropsVTypes"/>
</file>