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المثلم بن حذافة
</w:t>
      </w:r>
    </w:p>
    <w:p>
      <w:pPr>
        <w:jc w:val="start"/>
        <w:bidi/>
      </w:pPr>
      <w:r>
        <w:rPr>
          <w:rFonts w:ascii="arial" w:hAnsi="arial" w:eastAsia="arial" w:cs="arial"/>
          <w:sz w:val="28"/>
          <w:szCs w:val="28"/>
          <w:b w:val="1"/>
          <w:bCs w:val="1"/>
          <w:rtl/>
        </w:rPr>
        <w:t xml:space="preserve">المثلم بن حذافة
</w:t>
      </w:r>
    </w:p>
    <w:p>
      <w:pPr/>
      <w:r>
        <w:rPr/>
        <w:t xml:space="preserve">المثلم بن حذافة  المثلم بن حذافة بن غانم بن عامر، من بني عدي بن كعب، من قريش: شاعر من رؤساء قومه. مخضرم، عاش في الجاهلية وأدرك الإسلام. اشتهر بحمايته لرجل من بني النمر بن قاسط، اسمه ’’أوس’’ قتل رجلا من بني جمح، ولجأ إلى المثلم، فمنعه، وكادت تنشب فتنة بين الحيين (جمح، وعدي) بسببه. وللمثلم أبيات في ذلك، منها:</w:t>
      </w:r>
    </w:p>
    <w:p/>
    <w:p>
      <w:pPr/>
      <w:r>
        <w:rPr/>
        <w:t xml:space="preserve">’’فلست أسلم ’’أوسا’’ أو أموت، إذا حتى أرد وثغر النحر مبلول’’. </w:t>
      </w:r>
    </w:p>
    <w:p>
      <w:pPr>
        <w:jc w:val="start"/>
        <w:bidi/>
      </w:pPr>
      <w:r>
        <w:rPr>
          <w:sz w:val="24"/>
          <w:szCs w:val="24"/>
          <w:b w:val="1"/>
          <w:bCs w:val="1"/>
          <w:rtl/>
        </w:rPr>
        <w:t xml:space="preserve">
الأعلام،(دار العلم للملايين - بيروت،2002،ط 15،ج 5،ص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2026-05-03T20:42:01+03:00</dcterms:created>
  <dcterms:modified xsi:type="dcterms:W3CDTF">2026-05-03T20:42:01+03:00</dcterms:modified>
</cp:coreProperties>
</file>

<file path=docProps/custom.xml><?xml version="1.0" encoding="utf-8"?>
<Properties xmlns="http://schemas.openxmlformats.org/officeDocument/2006/custom-properties" xmlns:vt="http://schemas.openxmlformats.org/officeDocument/2006/docPropsVTypes"/>
</file>