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زطينا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زطينا
</w:t>
      </w:r>
    </w:p>
    <w:p>
      <w:pPr/>
      <w:r>
        <w:rPr/>
        <w:t xml:space="preserve">ابن زطينا جبريل بن الحسن بن غالب بن موسى بن زطينا، أبو الفضل الكاتب.</w:t>
      </w:r>
    </w:p>
    <w:p/>
    <w:p>
      <w:pPr/>
      <w:r>
        <w:rPr/>
        <w:t xml:space="preserve">كان نصرانيا فأسلم وحسن إسلامه وكان له كلام مليح على طريقة أرباب الحقائق، ونظم، وجمع من ذلك شيئا كثيرا.</w:t>
      </w:r>
    </w:p>
    <w:p/>
    <w:p>
      <w:pPr/>
      <w:r>
        <w:rPr/>
        <w:t xml:space="preserve">قال محب الدين ين النجار: وكان يتولى كتابة ديوان المجلس وقد رأيته كثيرا، وأورد شيئا من كلامه منه قوله: إذا نطق اللسان عن القلب، وهجس القلب عن إلهام الرب، ظهر الإعجاز في ضمن الإيجاز، ووضح البرهان وصح الإيقان.</w:t>
      </w:r>
    </w:p>
    <w:p/>
    <w:p>
      <w:pPr/>
      <w:r>
        <w:rPr/>
        <w:t xml:space="preserve">وأورد له جملة من هذا النوع وقال: توفي سنة ست وعشرين وستمائة ومن شعره: </w:t>
      </w:r>
    </w:p>
    <w:p/>
    <w:p>
      <w:pPr>
        <w:jc w:val="center"/>
      </w:pPr>
      <w:r>
        <w:rPr>
          <w:color w:val="ff0000"/>
        </w:rPr>
        <w:t xml:space="preserve">لا تكلني إلى سواك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أكره الذل يا دليل العقول</w:t>
      </w:r>
    </w:p>
    <w:p/>
    <w:p>
      <w:pPr>
        <w:jc w:val="center"/>
      </w:pPr>
      <w:r>
        <w:rPr>
          <w:color w:val="ff0000"/>
        </w:rPr>
        <w:t xml:space="preserve">وتفضل بلا وسيط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اكره الفضل من يد المفضول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زطينا البغدادي
</w:t>
      </w:r>
    </w:p>
    <w:p>
      <w:pPr/>
      <w:r>
        <w:rPr/>
        <w:t xml:space="preserve">ابن زطينا البغدادي اسمه جبريل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2026-05-04T20:47:05+03:00</dcterms:created>
  <dcterms:modified xsi:type="dcterms:W3CDTF">2026-05-04T20:47:05+03:00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