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الحريري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الحريري المصري
</w:t>
      </w:r>
    </w:p>
    <w:p>
      <w:pPr/>
      <w:r>
        <w:rPr/>
        <w:t xml:space="preserve">الحريري المصري جبريل بن محمود بن موسى، أبو الأمانة، المصري الحريري.</w:t>
      </w:r>
    </w:p>
    <w:p/>
    <w:p>
      <w:pPr/>
      <w:r>
        <w:rPr/>
        <w:t xml:space="preserve">سمع من العلامة ابن بري وسعيد المأموني وروى عنه الحافظان المندزي والدمياطي وجماعة وبالإجازة أبو الفضل بن البرزالي وأبو المعالي بن البالسي.</w:t>
      </w:r>
    </w:p>
    <w:p/>
    <w:p>
      <w:pPr/>
      <w:r>
        <w:rPr/>
        <w:t xml:space="preserve">وتوفي سنة احدى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2026-05-04T20:49:39+03:00</dcterms:created>
  <dcterms:modified xsi:type="dcterms:W3CDTF">2026-05-04T20:49:39+03:00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