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المحاية
</w:t>
      </w:r>
    </w:p>
    <w:p>
      <w:pPr>
        <w:jc w:val="start"/>
        <w:bidi/>
      </w:pPr>
      <w:r>
        <w:rPr>
          <w:rFonts w:ascii="arial" w:hAnsi="arial" w:eastAsia="arial" w:cs="arial"/>
          <w:sz w:val="28"/>
          <w:szCs w:val="28"/>
          <w:b w:val="1"/>
          <w:bCs w:val="1"/>
          <w:rtl/>
        </w:rPr>
        <w:t xml:space="preserve">ابن المحاية
</w:t>
      </w:r>
    </w:p>
    <w:p>
      <w:pPr/>
      <w:r>
        <w:rPr/>
        <w:t xml:space="preserve">ابن المحاية ثعلب بن علي بن نصر بن علي، أبو نصر البغدادي المعروف بابن المحاية، وسمى نفسه نصرا.</w:t>
      </w:r>
    </w:p>
    <w:p/>
    <w:p>
      <w:pPr/>
      <w:r>
        <w:rPr/>
        <w:t xml:space="preserve">كان أحد الفقهاء الشافعية، تولى الإعادة بمدرسة ابن المطلب وكانت له معرفة بالأدب وسمع الحديث من جماعة.</w:t>
      </w:r>
    </w:p>
    <w:p/>
    <w:p>
      <w:pPr/>
      <w:r>
        <w:rPr/>
        <w:t xml:space="preserve">قال محب الدين بن النجار: وما أظنه روى شيئا.</w:t>
      </w:r>
    </w:p>
    <w:p/>
    <w:p>
      <w:pPr/>
      <w:r>
        <w:rPr/>
        <w:t xml:space="preserve">وبلغني أن مولده كان سنة أربع وخمسين وخمسمائة وتوفي سنة ست وعشرين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المحاية الشافعي
</w:t>
      </w:r>
    </w:p>
    <w:p>
      <w:pPr/>
      <w:r>
        <w:rPr/>
        <w:t xml:space="preserve">ابن المحاية الشافعي اسمه ثعلب.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بن علي بن نصر بن علي
</w:t>
      </w:r>
    </w:p>
    <w:p>
      <w:pPr/>
      <w:r>
        <w:rPr/>
        <w:t xml:space="preserve">ثعلب بن علي بن نصر بن علي أبو نصر البغدادي المعروف بابن المحارية وسمى نفسه نصرا</w:t>
      </w:r>
    </w:p>
    <w:p/>
    <w:p>
      <w:pPr/>
      <w:r>
        <w:rPr/>
        <w:t xml:space="preserve">قال ابن النجار كان أحد الفقهاء على مذهب الشافعي وتولى الإعادة بمدرسة ابن المطلب وكانت له معرفة بالأدب وقد سمع الحديث من جماعة وما أظنه روى شيئا</w:t>
      </w:r>
    </w:p>
    <w:p/>
    <w:p>
      <w:pPr/>
      <w:r>
        <w:rPr/>
        <w:t xml:space="preserve">بلغني أن مولده كان سنة أربع وخمسين وخمسمائة وتوفي يوم الجمعة لست عشرة ليلة خلت من جمادى الأولى سنة ست وعشرين وستمائة ودفن بباب حرب</w:t>
      </w:r>
    </w:p>
    <w:p>
      <w:pPr>
        <w:jc w:val="start"/>
        <w:bidi/>
      </w:pPr>
      <w:r>
        <w:rPr>
          <w:sz w:val="24"/>
          <w:szCs w:val="24"/>
          <w:b w:val="1"/>
          <w:bCs w:val="1"/>
          <w:rtl/>
        </w:rPr>
        <w:t xml:space="preserve">
طبقات الشافعية الكبرى،(دار هجر - القاهرة،1992،ط 2،ج 8،ص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بن علي بن نصر بن علي أبو نصر البغدادي المعروف بابن المَّحارِيَّة.
</w:t>
      </w:r>
    </w:p>
    <w:p>
      <w:pPr/>
      <w:r>
        <w:rPr/>
        <w:t xml:space="preserve">ثعلب بن علي بن نصر بن علي أبو نصر البغدادي المعروف بابن المَّحارِيَّة. </w:t>
      </w:r>
    </w:p>
    <w:p/>
    <w:p>
      <w:pPr/>
      <w:r>
        <w:rPr/>
        <w:t xml:space="preserve">وسمى نفسه نصراً، قال ابن النجار: كان أحد الفقهاء على مذهب الشافعي، وتولى الإعادة بمدرسة ابن الطلب، وكانت له معرفة بالأدب، وقد سمع من جماعة ربما أظنه روى شيئاً، ولد سنة أربع وخمسين وخمسمائة، ومات سنة ست وعشرين وستمائة ودفن بباب حرب.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2026-05-04T20:48:24+03:00</dcterms:created>
  <dcterms:modified xsi:type="dcterms:W3CDTF">2026-05-04T20:48:24+03:00</dcterms:modified>
</cp:coreProperties>
</file>

<file path=docProps/custom.xml><?xml version="1.0" encoding="utf-8"?>
<Properties xmlns="http://schemas.openxmlformats.org/officeDocument/2006/custom-properties" xmlns:vt="http://schemas.openxmlformats.org/officeDocument/2006/docPropsVTypes"/>
</file>