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مبارك
</w:t>
      </w:r>
    </w:p>
    <w:p>
      <w:pPr>
        <w:jc w:val="start"/>
        <w:bidi/>
      </w:pPr>
      <w:r>
        <w:rPr>
          <w:rFonts w:ascii="arial" w:hAnsi="arial" w:eastAsia="arial" w:cs="arial"/>
          <w:sz w:val="28"/>
          <w:szCs w:val="28"/>
          <w:b w:val="1"/>
          <w:bCs w:val="1"/>
          <w:rtl/>
        </w:rPr>
        <w:t xml:space="preserve">الشريف مبارك
</w:t>
      </w:r>
    </w:p>
    <w:p>
      <w:pPr/>
      <w:r>
        <w:rPr/>
        <w:t xml:space="preserve">الشريف مبارك  مبارك بن أحمد بن زيد بن محسن: شريف حسني، من أمراء مكة. وليها سنة 1132 ÷ت، واستمر إلى أواخر سنة 134 وانتزعها منه الشريف ’’يحيى بن بركات’’ فكانت مدته سنتين وشهورا. وخرج إلى جهات الطائف، فأقام في موضع يسمى ’’جرجة’’ بعد وادي لية، قريبا من بلاد ثمالة. ونزل يحيى بن بركات عن الإمارة لابنه ’’بركات’’ فتقدم مبارك إلى أعالي مكة، ثم اصطدم بالشريف بركات. وظفر مبارك، فعاد إلى الإمارة سنة 1136 فمكث خمسة أشهر، واتفق من في الحجاز من الأتراك على عزله وتولية ’’عبد الله بن سعيد ’’ فتوجه مبارك إلى ’’بركة ماجن’’ ومنها إلى اليمن حيث استقر إلى أن توفي. </w:t>
      </w:r>
    </w:p>
    <w:p>
      <w:pPr>
        <w:jc w:val="start"/>
        <w:bidi/>
      </w:pPr>
      <w:r>
        <w:rPr>
          <w:sz w:val="24"/>
          <w:szCs w:val="24"/>
          <w:b w:val="1"/>
          <w:bCs w:val="1"/>
          <w:rtl/>
        </w:rPr>
        <w:t xml:space="preserve">
الأعلام،(دار العلم للملايين - بيروت،2002،ط 15،ج 5،ص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2026-05-03T20:35:45+03:00</dcterms:created>
  <dcterms:modified xsi:type="dcterms:W3CDTF">2026-05-03T20:35:45+03:00</dcterms:modified>
</cp:coreProperties>
</file>

<file path=docProps/custom.xml><?xml version="1.0" encoding="utf-8"?>
<Properties xmlns="http://schemas.openxmlformats.org/officeDocument/2006/custom-properties" xmlns:vt="http://schemas.openxmlformats.org/officeDocument/2006/docPropsVTypes"/>
</file>