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تغلب الفاروثي
</w:t>
      </w:r>
    </w:p>
    <w:p>
      <w:pPr>
        <w:jc w:val="start"/>
        <w:bidi/>
      </w:pPr>
      <w:r>
        <w:rPr>
          <w:rFonts w:ascii="arial" w:hAnsi="arial" w:eastAsia="arial" w:cs="arial"/>
          <w:sz w:val="28"/>
          <w:szCs w:val="28"/>
          <w:b w:val="1"/>
          <w:bCs w:val="1"/>
          <w:rtl/>
        </w:rPr>
        <w:t xml:space="preserve">أبو تغلب الفاروثي
</w:t>
      </w:r>
    </w:p>
    <w:p>
      <w:pPr/>
      <w:r>
        <w:rPr/>
        <w:t xml:space="preserve">أبو تغلب الفاروثي أبو تغلب بن أحمد بن أبي تغلب ابن أبي الغيث، والشيخ نجم الدين الفاروثي- بالفاء والراء والواو والثاء ثالثة الحروف- ولد سنة خمس وست مائة ببغداد. وتوفي رحمه الله تعالى سنة ست وتسعين وست مائة، ولو سمع في صغره لروى عن الحافظ ابن الأخضر وطبقته. وقد سمع بنفسه وروى صحيح البخاري عن ابن الزبيدي، وسمع من ابن ماسويه ويوسف الساوي، وكان شيخا حسنا. قال الشيخ شمس الدين: قرأت عليه أحاديث من البخاري. </w:t>
      </w:r>
    </w:p>
    <w:p/>
    <w:p>
      <w:pPr/>
      <w:r>
        <w:rPr/>
        <w:t xml:space="preserve">التفكري: يوسف بن الحسن.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تغلب بن أحمد بن أبي تغلب بن أبي الغيث الشيخ الجليل نجم الدين الفاروثي الواسطي
</w:t>
      </w:r>
    </w:p>
    <w:p>
      <w:pPr/>
      <w:r>
        <w:rPr/>
        <w:t xml:space="preserve">أبو تغلب بن أحمد بن أبي تغلب بن أبي الغيث الشيخ الجليل نجم الدين الفاروثي الواسطي ولد في بغداد في شوال سنة خمس وست مائة.</w:t>
      </w:r>
    </w:p>
    <w:p/>
    <w:p>
      <w:pPr/>
      <w:r>
        <w:rPr/>
        <w:t xml:space="preserve">ثم سكن دمشق من الصبا، وسمع من الزبيدي، وحدث بالصحيح، وسمع التقي بن باسويه، وبمصر من يوسف الساوي، وكان يتجر.</w:t>
      </w:r>
    </w:p>
    <w:p/>
    <w:p>
      <w:pPr/>
      <w:r>
        <w:rPr/>
        <w:t xml:space="preserve">مات في المحرم سنة ست وتسعين وست مائة، وهو والد شمس الدين المقرئ</w:t>
      </w:r>
    </w:p>
    <w:p/>
    <w:p>
      <w:pPr/>
      <w:r>
        <w:rPr/>
        <w:t xml:space="preserve">أخبرنا أبو تغلب بن أحمد، وعلي بن محمد، ويوسف بن أبي نصر، وابن الفراء، وابن قوام، وابن بيان، وعدة، قالوا: أنا الحسين بن أبي بكر، أنا أبو الوقت الداودي، أنا الحموي، أنا الفربري، نا محمد بن إسماعيل، نا عبد الله بن موسى، عن الأعمش، عن أبي أويس، عن عبد الله، قال: قال النبي صلى الله عليه وسلم: «أول ما يقضى بين الناس في الدماء».</w:t>
      </w:r>
    </w:p>
    <w:p/>
    <w:p>
      <w:pPr/>
      <w:r>
        <w:rPr/>
        <w:t xml:space="preserve">وأخرجه مسلم، أيضا والترمذي، والنسائي، والقزويني، من طرق عن الأعمش، هكذا وله علل غير مؤثرة، منها أبو داود الطيالسي، عن سفيان، عن الأعمش، فلم يرفعه.</w:t>
      </w:r>
    </w:p>
    <w:p/>
    <w:p>
      <w:pPr/>
      <w:r>
        <w:rPr/>
        <w:t xml:space="preserve">ورواه أبو معاوية، عن الأعمش، عن عمر بن شرحبيل.</w:t>
      </w:r>
    </w:p>
    <w:p/>
    <w:p>
      <w:pPr/>
      <w:r>
        <w:rPr/>
        <w:t xml:space="preserve">مرسلا.</w:t>
      </w:r>
    </w:p>
    <w:p/>
    <w:p>
      <w:pPr/>
      <w:r>
        <w:rPr/>
        <w:t xml:space="preserve">ورواه إبراهيم بن طهمان، عن الأعمش، عن عمر بن شرحبيل، عن ابن مسعود، موقوفا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422)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2026-05-05T01:21:18+03:00</dcterms:created>
  <dcterms:modified xsi:type="dcterms:W3CDTF">2026-05-05T01:21:18+03:00</dcterms:modified>
</cp:coreProperties>
</file>

<file path=docProps/custom.xml><?xml version="1.0" encoding="utf-8"?>
<Properties xmlns="http://schemas.openxmlformats.org/officeDocument/2006/custom-properties" xmlns:vt="http://schemas.openxmlformats.org/officeDocument/2006/docPropsVTypes"/>
</file>