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الكاتب البغدادي
</w:t>
      </w:r>
    </w:p>
    <w:p>
      <w:pPr>
        <w:jc w:val="start"/>
        <w:bidi/>
      </w:pPr>
      <w:r>
        <w:rPr>
          <w:rFonts w:ascii="arial" w:hAnsi="arial" w:eastAsia="arial" w:cs="arial"/>
          <w:sz w:val="28"/>
          <w:szCs w:val="28"/>
          <w:b w:val="1"/>
          <w:bCs w:val="1"/>
          <w:rtl/>
        </w:rPr>
        <w:t xml:space="preserve">الكاتب البغدادي
</w:t>
      </w:r>
    </w:p>
    <w:p>
      <w:pPr/>
      <w:r>
        <w:rPr/>
        <w:t xml:space="preserve">الكاتب البغدادي تركان شاه بن محمد بن تركانشاه أبو المظفر الكاتب البغدادي؛ سمع أباه وأبا عبد الله هبة الله بن أحمد بن محمد الموصلي وعبد الواحد بن علي بن فهد العلاف وعلي بن محمد بن علي بن العلاف وأحمد بن علي بن بدران الحلواني وغيرهم ببغداد؛ وسمع بالري عبد الوحد بن إسماعيل الروياني. وكان يكتب خطا مليحا. قال ابن النجار: روى لنا عنه ابن الأخضر، وتوفي سنة إحدى وخمسين وخمس مائة. </w:t>
      </w:r>
    </w:p>
    <w:p>
      <w:pPr>
        <w:jc w:val="start"/>
        <w:bidi/>
      </w:pPr>
      <w:r>
        <w:rPr>
          <w:sz w:val="24"/>
          <w:szCs w:val="24"/>
          <w:b w:val="1"/>
          <w:bCs w:val="1"/>
          <w:rtl/>
        </w:rPr>
        <w:t xml:space="preserve">
الوافي بالوفيات،(دار فرانز شتاينر، فيسبادن، ألمانيا / دار إحياء التراث - بيروت،2000،ط 1،ج 10،ص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2026-05-05T01:19:11+03:00</dcterms:created>
  <dcterms:modified xsi:type="dcterms:W3CDTF">2026-05-05T01:19:11+03:00</dcterms:modified>
</cp:coreProperties>
</file>

<file path=docProps/custom.xml><?xml version="1.0" encoding="utf-8"?>
<Properties xmlns="http://schemas.openxmlformats.org/officeDocument/2006/custom-properties" xmlns:vt="http://schemas.openxmlformats.org/officeDocument/2006/docPropsVTypes"/>
</file>