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التبان
</w:t>
      </w:r>
    </w:p>
    <w:p>
      <w:pPr>
        <w:jc w:val="start"/>
        <w:bidi/>
      </w:pPr>
      <w:r>
        <w:rPr>
          <w:rFonts w:ascii="arial" w:hAnsi="arial" w:eastAsia="arial" w:cs="arial"/>
          <w:sz w:val="28"/>
          <w:szCs w:val="28"/>
          <w:b w:val="1"/>
          <w:bCs w:val="1"/>
          <w:rtl/>
        </w:rPr>
        <w:t xml:space="preserve">ابن التبان
</w:t>
      </w:r>
    </w:p>
    <w:p>
      <w:pPr/>
      <w:r>
        <w:rPr/>
        <w:t xml:space="preserve">ابن التبان  دلف.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التبان
</w:t>
      </w:r>
    </w:p>
    <w:p>
      <w:pPr/>
      <w:r>
        <w:rPr/>
        <w:t xml:space="preserve">ابن التبان دلف بن عبد الله بن محمد بن عمر بن التبان أبو الخير الفقيه البغدادي. صحب عبد القادر الجيلي وسمع سنة أربعين وخمس ومائة من الحافظ ابن ناصر وسعد الخير بن محمد الأنصاري وعبد الصبور بن عبد السلام وغيرهم. </w:t>
      </w:r>
    </w:p>
    <w:p/>
    <w:p>
      <w:pPr/>
      <w:r>
        <w:rPr/>
        <w:t xml:space="preserve">ودخل خراسان وأقام في نيسابور يقرأ على محمد بن يحيى وسمع من عبد الله بن محمد الفراوي.</w:t>
      </w:r>
    </w:p>
    <w:p/>
    <w:p>
      <w:pPr/>
      <w:r>
        <w:rPr/>
        <w:t xml:space="preserve">ودخل خوارزم وسمرقند وسمع بها محمد بن نصر بن منصور المديني ومحمود بن علي النسفي.</w:t>
      </w:r>
    </w:p>
    <w:p/>
    <w:p>
      <w:pPr/>
      <w:r>
        <w:rPr/>
        <w:t xml:space="preserve">وحدث هناك وروى عنه أبو المظفر ابن السمعاني في مشيخته وأبو بكر الفرغاني خطب سمرقند.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2026-05-06T13:08:41+03:00</dcterms:created>
  <dcterms:modified xsi:type="dcterms:W3CDTF">2026-05-06T13:08:41+03:00</dcterms:modified>
</cp:coreProperties>
</file>

<file path=docProps/custom.xml><?xml version="1.0" encoding="utf-8"?>
<Properties xmlns="http://schemas.openxmlformats.org/officeDocument/2006/custom-properties" xmlns:vt="http://schemas.openxmlformats.org/officeDocument/2006/docPropsVTypes"/>
</file>