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البيع الفاسر
</w:t>
      </w:r>
    </w:p>
    <w:p>
      <w:pPr>
        <w:jc w:val="start"/>
        <w:bidi/>
      </w:pPr>
      <w:r>
        <w:rPr>
          <w:rFonts w:ascii="arial" w:hAnsi="arial" w:eastAsia="arial" w:cs="arial"/>
          <w:sz w:val="28"/>
          <w:szCs w:val="28"/>
          <w:b w:val="1"/>
          <w:bCs w:val="1"/>
          <w:rtl/>
        </w:rPr>
        <w:t xml:space="preserve">البيع الفاسر
</w:t>
      </w:r>
    </w:p>
    <w:p>
      <w:pPr/>
      <w:r>
        <w:rPr/>
        <w:t xml:space="preserve">البيع الفاسر  علي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البيع الفاسد الشافعي
</w:t>
      </w:r>
    </w:p>
    <w:p>
      <w:pPr/>
      <w:r>
        <w:rPr/>
        <w:t xml:space="preserve">البيع الفاسد الشافعي علي بن سعيد بن الحسن بن علي بن العريف أبو الحسن الفقيه الشافعي، المعروف بالبيع الفاسد البغدادي. كان حنبلي المذهب، فانتقل إلى مذهب الشافعي، وصحب أبا القاسم ابن فضلان، وتفقه عليه، وكان خصيصا به، وهو الذي لقبه بالبيع الفاسد، لأنه كان قد حفظه مسألة البيع الفاسد هل يصح أم لا. وكان يكثر تكرارها والسؤال عنها والاعتراض فيها. قال محب الدين ابن النجار: ويقال أنه صار في آخر عمره متشيعا غاليا ينتحل مذهب الإمامية. وكان من محاسن البغداديين وظرفائهم، توفي سنة اثنتين وتسعين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2026-05-06T13:23:43+03:00</dcterms:created>
  <dcterms:modified xsi:type="dcterms:W3CDTF">2026-05-06T13:23:43+03:00</dcterms:modified>
</cp:coreProperties>
</file>

<file path=docProps/custom.xml><?xml version="1.0" encoding="utf-8"?>
<Properties xmlns="http://schemas.openxmlformats.org/officeDocument/2006/custom-properties" xmlns:vt="http://schemas.openxmlformats.org/officeDocument/2006/docPropsVTypes"/>
</file>