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بيجار الرومي
</w:t>
      </w:r>
    </w:p>
    <w:p>
      <w:pPr>
        <w:jc w:val="start"/>
        <w:bidi/>
      </w:pPr>
      <w:r>
        <w:rPr>
          <w:rFonts w:ascii="arial" w:hAnsi="arial" w:eastAsia="arial" w:cs="arial"/>
          <w:sz w:val="28"/>
          <w:szCs w:val="28"/>
          <w:b w:val="1"/>
          <w:bCs w:val="1"/>
          <w:rtl/>
        </w:rPr>
        <w:t xml:space="preserve">بيجار الرومي
</w:t>
      </w:r>
    </w:p>
    <w:p>
      <w:pPr/>
      <w:r>
        <w:rPr/>
        <w:t xml:space="preserve">بيجار الرومي بيجار، الأمير حسام الدين اللاوي الرومي ابن بختيار. كان له ببلاد الروم قلاع وأموال وحشمة، فنزح إلى المسلمين مهاجرا في أواخر الدولة الظاهرية، وحج وأنفق أموالا كثيرة، ثم رجع ولزم بيته وترك الإمرة. قال الشيخ قطب الدين: جاوز المائة بسنين. كذا وكف بصره. وتوفي سنة إحدى وثمانين وستمائة. وقد تقدم ذكر ولده الأمير سيف الدين بهادر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2026-05-06T13:09:37+03:00</dcterms:created>
  <dcterms:modified xsi:type="dcterms:W3CDTF">2026-05-06T13:09:37+03:00</dcterms:modified>
</cp:coreProperties>
</file>

<file path=docProps/custom.xml><?xml version="1.0" encoding="utf-8"?>
<Properties xmlns="http://schemas.openxmlformats.org/officeDocument/2006/custom-properties" xmlns:vt="http://schemas.openxmlformats.org/officeDocument/2006/docPropsVTypes"/>
</file>