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بيان العنبري، من شعراء خراسان؛ يقول في قتل قتيبة بن مسلم: </w:t>
      </w:r>
    </w:p>
    <w:p/>
    <w:p>
      <w:pPr>
        <w:jc w:val="center"/>
      </w:pPr>
      <w:r>
        <w:rPr>
          <w:color w:val="ff0000"/>
        </w:rPr>
        <w:t xml:space="preserve">فقل للباهلي أليس جهلا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بكاؤك من قضا دين الغريم</w:t>
      </w:r>
    </w:p>
    <w:p/>
    <w:p>
      <w:pPr>
        <w:jc w:val="center"/>
      </w:pPr>
      <w:r>
        <w:rPr>
          <w:color w:val="ff0000"/>
        </w:rPr>
        <w:t xml:space="preserve">أتجزع إن أسابك ما لقينا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الأحداث والدهر الغشوم</w:t>
      </w:r>
    </w:p>
    <w:p/>
    <w:p>
      <w:pPr>
        <w:jc w:val="center"/>
      </w:pPr>
      <w:r>
        <w:rPr>
          <w:color w:val="ff0000"/>
        </w:rPr>
        <w:t xml:space="preserve">أرادوا قسمة ضيزى وأنا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لنا في قسمة الحق الظلوم</w:t>
      </w:r>
    </w:p>
    <w:p/>
    <w:p>
      <w:pPr>
        <w:jc w:val="center"/>
      </w:pPr>
      <w:r>
        <w:rPr>
          <w:color w:val="ff0000"/>
        </w:rPr>
        <w:t xml:space="preserve">قددنا بالمثال أديم قيس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سبقوا إلى قد الأديم</w:t>
      </w:r>
    </w:p>
    <w:p/>
    <w:p>
      <w:pPr>
        <w:jc w:val="center"/>
      </w:pPr>
      <w:r>
        <w:rPr>
          <w:color w:val="ff0000"/>
        </w:rPr>
        <w:t xml:space="preserve">جزيناهم بما اصطنعوا إلينا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غير ذي بقيا رحيم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2026-05-06T13:59:20+03:00</dcterms:created>
  <dcterms:modified xsi:type="dcterms:W3CDTF">2026-05-06T13:59:20+03:00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