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بهروز شحنة بغداد
</w:t>
      </w:r>
    </w:p>
    <w:p>
      <w:pPr>
        <w:jc w:val="start"/>
        <w:bidi/>
      </w:pPr>
      <w:r>
        <w:rPr>
          <w:rFonts w:ascii="arial" w:hAnsi="arial" w:eastAsia="arial" w:cs="arial"/>
          <w:sz w:val="28"/>
          <w:szCs w:val="28"/>
          <w:b w:val="1"/>
          <w:bCs w:val="1"/>
          <w:rtl/>
        </w:rPr>
        <w:t xml:space="preserve">بهروز شحنة بغداد
</w:t>
      </w:r>
    </w:p>
    <w:p>
      <w:pPr/>
      <w:r>
        <w:rPr/>
        <w:t xml:space="preserve">بهروز شحنة بغداد بهروز بن عبد الله، أبو الحسن الخادم الأبيض الملقب مجاهد الدين، مولى السلطان محمد بن ملكشاه السلجوقي؛ ولي وزارة العراق نيفا وثلاثين سنة، وبنى ببغداد رباطا للصوفية على دجلة ورباطا آخر للخدم بأعلى البلد، وعمر النهروان وأجرى الماء فيه بعد أن كان قد خرب، وولي الشحنكية ببغداد. قال محب الدين ابن النجار: وكان حسن السيرة، متدينا. توفي في رجب سنة أربعين وخمس مائة. وقال الشيخ شمس الدين الذهبي: سنة اثنتين وأربعين، وكان ظلوما. قلت: وفي ترجمة أيوب والد السلطان صلاح الدين، له ذكر فيطلب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2026-05-06T15:05:21+03:00</dcterms:created>
  <dcterms:modified xsi:type="dcterms:W3CDTF">2026-05-06T15:05:21+03:00</dcterms:modified>
</cp:coreProperties>
</file>

<file path=docProps/custom.xml><?xml version="1.0" encoding="utf-8"?>
<Properties xmlns="http://schemas.openxmlformats.org/officeDocument/2006/custom-properties" xmlns:vt="http://schemas.openxmlformats.org/officeDocument/2006/docPropsVTypes"/>
</file>