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بغدوين الإفرنجي
</w:t>
      </w:r>
    </w:p>
    <w:p>
      <w:pPr>
        <w:jc w:val="start"/>
        <w:bidi/>
      </w:pPr>
      <w:r>
        <w:rPr>
          <w:rFonts w:ascii="arial" w:hAnsi="arial" w:eastAsia="arial" w:cs="arial"/>
          <w:sz w:val="28"/>
          <w:szCs w:val="28"/>
          <w:b w:val="1"/>
          <w:bCs w:val="1"/>
          <w:rtl/>
        </w:rPr>
        <w:t xml:space="preserve">بغدوين الإفرنجي
</w:t>
      </w:r>
    </w:p>
    <w:p>
      <w:pPr/>
      <w:r>
        <w:rPr/>
        <w:t xml:space="preserve">بغدوين الإفرنجي بغدوين، ملك الإفرنج الذي أخذ القدس؛ هلك من خراجة أصابته يوم مصاف طبرية. كان شجاعا مهيبا خبيثا استفحل شره وجمع العساكر وسار ليأخذ مصر من بني عبيد إلى أن قارب تنيس فسبح في النيل فانتقض الجرح عليه ونزل به الموت بالسبخة المعروفة به في رمل مصر، فشقوا بطنه ورموا حشاه هناك فهي ترجم إلى اليوم. وحملوه ودفنوه بالقمامة، وكان القمص صاحب الرهاء قد جاء إلى القدس زائرا، فوصى له بغدوين بالملك بعده وكان هلاكه في سنة ثمان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2026-05-09T07:30:17+03:00</dcterms:created>
  <dcterms:modified xsi:type="dcterms:W3CDTF">2026-05-09T07:30:17+03:00</dcterms:modified>
</cp:coreProperties>
</file>

<file path=docProps/custom.xml><?xml version="1.0" encoding="utf-8"?>
<Properties xmlns="http://schemas.openxmlformats.org/officeDocument/2006/custom-properties" xmlns:vt="http://schemas.openxmlformats.org/officeDocument/2006/docPropsVTypes"/>
</file>