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الفارقي
</w:t>
      </w:r>
    </w:p>
    <w:p>
      <w:pPr>
        <w:jc w:val="start"/>
        <w:bidi/>
      </w:pPr>
      <w:r>
        <w:rPr>
          <w:rFonts w:ascii="arial" w:hAnsi="arial" w:eastAsia="arial" w:cs="arial"/>
          <w:sz w:val="28"/>
          <w:szCs w:val="28"/>
          <w:b w:val="1"/>
          <w:bCs w:val="1"/>
          <w:rtl/>
        </w:rPr>
        <w:t xml:space="preserve">الفارقي
</w:t>
      </w:r>
    </w:p>
    <w:p>
      <w:pPr/>
      <w:r>
        <w:rPr/>
        <w:t xml:space="preserve">الفارقي  مالك بن سعيد بن مالك الفارقي، أبو الحسن: من قضاة الديار المصرية، ولاه الحاكم العبيدي بعد عزل عبد العزيز بن محمد (سنة 398 هـ) وخلع عليه. ثم أضيف إليه النظر في المظالم سنة 401 وعلت منزلته عند الحاكم حتى صار يجالسه ويسامره. وكان يصعد المنبر في الأعياد، على عادة من تقدمه. وصار إليه أمر الصلات والإقطاعات والسجلات ومكاتبات العمال ومراسلات الدعاة. وكان فصيحا بليغا متأنيا وقورا، مساعدا على الخير. استمر في القضاء ست سنين وتسعة أشهر. وكان قبل ولايته قد حكم نيابة عن بني النعمان ثلاثة عشر عاما، فتكون مدة إقامته في الحكم عشرين عاما متوالية. ووشى به إلى الحاكم وشاية باطلة فضرب عنقه. </w:t>
      </w:r>
    </w:p>
    <w:p>
      <w:pPr>
        <w:jc w:val="start"/>
        <w:bidi/>
      </w:pPr>
      <w:r>
        <w:rPr>
          <w:sz w:val="24"/>
          <w:szCs w:val="24"/>
          <w:b w:val="1"/>
          <w:bCs w:val="1"/>
          <w:rtl/>
        </w:rPr>
        <w:t xml:space="preserve">
الأعلام،(دار العلم للملايين - بيروت،2002،ط 15،ج 5،ص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2026-05-03T18:25:32+03:00</dcterms:created>
  <dcterms:modified xsi:type="dcterms:W3CDTF">2026-05-03T18:25:32+03:00</dcterms:modified>
</cp:coreProperties>
</file>

<file path=docProps/custom.xml><?xml version="1.0" encoding="utf-8"?>
<Properties xmlns="http://schemas.openxmlformats.org/officeDocument/2006/custom-properties" xmlns:vt="http://schemas.openxmlformats.org/officeDocument/2006/docPropsVTypes"/>
</file>