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الهادي السراجي
</w:t>
      </w:r>
    </w:p>
    <w:p>
      <w:pPr>
        <w:jc w:val="start"/>
        <w:bidi/>
      </w:pPr>
      <w:r>
        <w:rPr>
          <w:rFonts w:ascii="arial" w:hAnsi="arial" w:eastAsia="arial" w:cs="arial"/>
          <w:sz w:val="28"/>
          <w:szCs w:val="28"/>
          <w:b w:val="1"/>
          <w:bCs w:val="1"/>
          <w:rtl/>
        </w:rPr>
        <w:t xml:space="preserve">الهادي السراجي
</w:t>
      </w:r>
    </w:p>
    <w:p>
      <w:pPr/>
      <w:r>
        <w:rPr/>
        <w:t xml:space="preserve">الهادي السراجي  أحمد بن على بن حسين الحسنى الطالبى، سراج الدين، المعروف بالسراجى الهادى لدين الله: إمام زيدى. ولد وتفقه بصنعاء، وهاجر سنة 1247 هـ ، إلى (نهم) ومعه جمع من العلماء، فدعا إلى الله والرضى من آل محمد - وهى دعوة أئمة الزيديين المألوفة فى اليمن - فأجاب دعوته كثيرون من أهل بلاد خولان وأرحب ونهم وحاشد وبكيل، فزحف بهم لمحاصرة المهدى فى صنعاء، فلم يلبثوا أن تفرقوا. فعاد إلى نهم، وأخذ يحشد غيرهم، فدس له أعداؤه من قتله غيلة بضربة سيف، فى العيضة (من بلاد نهم). </w:t>
      </w:r>
    </w:p>
    <w:p>
      <w:pPr>
        <w:jc w:val="start"/>
        <w:bidi/>
      </w:pPr>
      <w:r>
        <w:rPr>
          <w:sz w:val="24"/>
          <w:szCs w:val="24"/>
          <w:b w:val="1"/>
          <w:bCs w:val="1"/>
          <w:rtl/>
        </w:rPr>
        <w:t xml:space="preserve">
الأعلام،(دار العلم للملايين - بيروت،2002،ط 15،ج 1،ص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2026-07-03T23:04:53+03:00</dcterms:created>
  <dcterms:modified xsi:type="dcterms:W3CDTF">2026-07-03T23:04:53+03:00</dcterms:modified>
</cp:coreProperties>
</file>

<file path=docProps/custom.xml><?xml version="1.0" encoding="utf-8"?>
<Properties xmlns="http://schemas.openxmlformats.org/officeDocument/2006/custom-properties" xmlns:vt="http://schemas.openxmlformats.org/officeDocument/2006/docPropsVTypes"/>
</file>