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البديعي الأزرقي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البديعي الأزرقي
</w:t>
      </w:r>
    </w:p>
    <w:p>
      <w:pPr/>
      <w:r>
        <w:rPr/>
        <w:t xml:space="preserve">البديعي الأزرقي 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البديعي الأزرق
</w:t>
      </w:r>
    </w:p>
    <w:p>
      <w:pPr/>
      <w:r>
        <w:rPr/>
        <w:t xml:space="preserve">البديعي الأزرق الحسن بن محمد بن علي بن هارون بن إسحاق، أبو علي البديعي الأزرق الشاعر. حدث عن أبي عبيد المحاملي. وروى عنه أبو بكر الشيرازي في: كتاب الألقاب، من جمعه.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#يا ذا الذي ليس لي في غيره غرض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هواه علي الدهر مفترض</w:t>
      </w:r>
    </w:p>
    <w:p/>
    <w:p>
      <w:pPr>
        <w:jc w:val="center"/>
      </w:pPr>
      <w:r>
        <w:rPr>
          <w:color w:val="ff0000"/>
        </w:rPr>
        <w:t xml:space="preserve">لم لا أكون لكم من غيركم عوضا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ليس لي في البرايا منكم عوض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2026-05-09T10:36:16+03:00</dcterms:created>
  <dcterms:modified xsi:type="dcterms:W3CDTF">2026-05-09T10:36:16+03:00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