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حنظلة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حنظلة
</w:t>
      </w:r>
    </w:p>
    <w:p>
      <w:pPr/>
      <w:r>
        <w:rPr/>
        <w:t xml:space="preserve">مالك بن حنظلة  مالك بن حنظلة بن مالك بن زيد مناة من تميم من عدنان: جد جاهلي. يلقب بالغرف (بفتح الغين وسكون الراء) لسخائه. وفيه يقول الاسود بن يعفر:</w:t>
      </w:r>
    </w:p>
    <w:p/>
    <w:p>
      <w:pPr>
        <w:jc w:val="center"/>
      </w:pPr>
      <w:r>
        <w:rPr>
          <w:color w:val="ff0000"/>
        </w:rPr>
        <w:t xml:space="preserve">في آل غرف لو بغيت لى الاسى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لوجدت فيهم اسوة العداد</w:t>
      </w:r>
    </w:p>
    <w:p/>
    <w:p>
      <w:pPr/>
      <w:r>
        <w:rPr/>
        <w:t xml:space="preserve">ويقال له (مالك الاصغر) للتمييز بينه وبين جده. ويعرف بنوه ببني (طهية) وهي زوجته –امهم – تقدمت ترجمتها.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2026-05-05T13:31:42+03:00</dcterms:created>
  <dcterms:modified xsi:type="dcterms:W3CDTF">2026-05-05T13:31:42+03:00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