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مؤذن النجيبي
</w:t>
      </w:r>
    </w:p>
    <w:p>
      <w:pPr>
        <w:jc w:val="start"/>
        <w:bidi/>
      </w:pPr>
      <w:r>
        <w:rPr>
          <w:rFonts w:ascii="arial" w:hAnsi="arial" w:eastAsia="arial" w:cs="arial"/>
          <w:sz w:val="28"/>
          <w:szCs w:val="28"/>
          <w:b w:val="1"/>
          <w:bCs w:val="1"/>
          <w:rtl/>
        </w:rPr>
        <w:t xml:space="preserve">مؤذن النجيبي
</w:t>
      </w:r>
    </w:p>
    <w:p>
      <w:pPr/>
      <w:r>
        <w:rPr/>
        <w:t xml:space="preserve">مؤذن النجيبي أيوب بن سليمان بن مظفر، الشيخ المقرئ المعمر، نجم الدين مؤذن النجيبي؛ كبير المؤذنين. كان يخرج بالسواد أمام خطباء الجامع الأموي بدمشق، وله صوت جهوري طيب، واستمر على ذلك زمانا، وعاش تسعا وثمانين سنة، وكان ريض الأخلاق، له عدة أولاد منهم: أمين الدين محمد. وتوفي رحمه الله سنة تسع وسبع مائة. </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أيوب بن سليمان بن مظفر
</w:t>
      </w:r>
    </w:p>
    <w:p>
      <w:pPr/>
      <w:r>
        <w:rPr/>
        <w:t xml:space="preserve">أيوب بن سليمان بن مظفر الشيخ المقرئ المعمر نجم الدين، مؤذن النجيبي.</w:t>
      </w:r>
    </w:p>
    <w:p/>
    <w:p>
      <w:pPr/>
      <w:r>
        <w:rPr/>
        <w:t xml:space="preserve">كبير المؤذنين، كان يخرج بالسواد أمام خطباء الجامع الأموي بدمشق، كان صوته عاليا، إلا أنه في الطرب غاليا، وله أخلاق مرتاضة وحركات تداوي من الصاحب أمراضه، وله عدة أولاد يجمع شملهم ويلتزم حملهم.</w:t>
      </w:r>
    </w:p>
    <w:p/>
    <w:p>
      <w:pPr/>
      <w:r>
        <w:rPr/>
        <w:t xml:space="preserve">ولم يزل على حاله إلا أن تعين النجيب على النجيبي ووجب، وقضى الناس من أمره العجب.</w:t>
      </w:r>
    </w:p>
    <w:p/>
    <w:p>
      <w:pPr/>
      <w:r>
        <w:rPr/>
        <w:t xml:space="preserve">وتوفي رحمه الله تعالى سنة تسع وسبع مئة، وعاش تسعا وثمانين سنة.</w:t>
      </w:r>
    </w:p>
    <w:p>
      <w:pPr>
        <w:jc w:val="start"/>
        <w:bidi/>
      </w:pPr>
      <w:r>
        <w:rPr>
          <w:sz w:val="24"/>
          <w:szCs w:val="24"/>
          <w:b w:val="1"/>
          <w:bCs w:val="1"/>
          <w:rtl/>
        </w:rPr>
        <w:t xml:space="preserve">
أعيان العصر وأعوان النصر،(دار الفكر المعاصر، بيروت - لبنان / دار الفكر، دمشق - سوريا،1998،ط 1،ج 1،ص 673)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أيوب بن سليمان بن مظفر المقرئ نجم الدين
</w:t>
      </w:r>
    </w:p>
    <w:p>
      <w:pPr/>
      <w:r>
        <w:rPr/>
        <w:t xml:space="preserve">أيوب بن سليمان بن مظفر المقرئ نجم الدين أيوب بن سليمان بن مظفر المقرئ نجم الدين رئيس المؤذنين ولد سنة 620 كان حسن الصوت جدا جهورية منور الشيبة حسن الشكل ريض الأخلاق مات في سنة 709 وله تسع وثمانون سنة</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2026-05-14T01:15:39+03:00</dcterms:created>
  <dcterms:modified xsi:type="dcterms:W3CDTF">2026-05-14T01:15:39+03:00</dcterms:modified>
</cp:coreProperties>
</file>

<file path=docProps/custom.xml><?xml version="1.0" encoding="utf-8"?>
<Properties xmlns="http://schemas.openxmlformats.org/officeDocument/2006/custom-properties" xmlns:vt="http://schemas.openxmlformats.org/officeDocument/2006/docPropsVTypes"/>
</file>