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آقسنقر البرسقي
</w:t>
      </w:r>
    </w:p>
    <w:p>
      <w:pPr>
        <w:jc w:val="start"/>
        <w:bidi/>
      </w:pPr>
      <w:r>
        <w:rPr>
          <w:rFonts w:ascii="arial" w:hAnsi="arial" w:eastAsia="arial" w:cs="arial"/>
          <w:sz w:val="28"/>
          <w:szCs w:val="28"/>
          <w:b w:val="1"/>
          <w:bCs w:val="1"/>
          <w:rtl/>
        </w:rPr>
        <w:t xml:space="preserve">آقسنقر البرسقي
</w:t>
      </w:r>
    </w:p>
    <w:p>
      <w:pPr/>
      <w:r>
        <w:rPr/>
        <w:t xml:space="preserve">آقسنقر البرسقي آقسنقر سيف الدين قسيم الدولة أبو سعيد البرسقي مولى الأمير برسق غلام السلطان طغرلبك، ترقت به الحال إلى أن ولاه السلطان محمود إمرة الموصل والرحبة، ثم ولاه شحنكية بغداد، وقال لقاضيه: اتخذ مسمارا على باب دارك نقشه أجب داعي الله ومن كان له خصم يحضر إلى بابك ويختم عليه بالشمع ويمضي إلى خصمه كائنا من كان، ولا يقدم أحد على التخلف! وأمر زوجته أن يدعي لها وكيل من جهته عليه عند القاضي بالصداق فتوجه وأمر القاضي أن لا يقوم له، وسمع الدعوى عليه وهو مساو لغريمه. توفي سنة عشرين وخمسمائة لما انفتل من الصلاة في جامع الموصل أثخنه الباطنية جراحا في ذي القعدة لأنه كان قد تصدى لاستئصال شأفتهم وقتل منهم عصبة.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2026-06-10T03:50:36+03:00</dcterms:created>
  <dcterms:modified xsi:type="dcterms:W3CDTF">2026-06-10T03:50:36+03:00</dcterms:modified>
</cp:coreProperties>
</file>

<file path=docProps/custom.xml><?xml version="1.0" encoding="utf-8"?>
<Properties xmlns="http://schemas.openxmlformats.org/officeDocument/2006/custom-properties" xmlns:vt="http://schemas.openxmlformats.org/officeDocument/2006/docPropsVTypes"/>
</file>