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المليجي المقرئ
</w:t>
      </w:r>
    </w:p>
    <w:p>
      <w:pPr>
        <w:jc w:val="start"/>
        <w:bidi/>
      </w:pPr>
      <w:r>
        <w:rPr>
          <w:rFonts w:ascii="arial" w:hAnsi="arial" w:eastAsia="arial" w:cs="arial"/>
          <w:sz w:val="28"/>
          <w:szCs w:val="28"/>
          <w:b w:val="1"/>
          <w:bCs w:val="1"/>
          <w:rtl/>
        </w:rPr>
        <w:t xml:space="preserve">المليجي المقرئ
</w:t>
      </w:r>
    </w:p>
    <w:p>
      <w:pPr/>
      <w:r>
        <w:rPr/>
        <w:t xml:space="preserve">المليجي المقرئ إسماعيل بن هبة الله بن علي بن هبة الله فخر الدين أبو الطاهر ابن أبي القاسم ابن المليجي المصري المقرئ المعدل مسند القراء في زمانه، ولد سنة تسع وثمانين أو قبلها بيسير، وقرأ بالسبع على أبي الجود وهو آخر من قرأ عليه وفاة، وازدحم عليه آخر عمره الطلبة لعلوه ولإتقانه، وقرأ عليه الشيخ أثير الدين أبو حيان وقطب الدين عبد الكريم والتقي أبو بكر الجعبري، وتساوى القراء بعده في إسناد أبي الجود. وتوفي سنة إحدى وثمانين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2026-06-13T22:59:36+03:00</dcterms:created>
  <dcterms:modified xsi:type="dcterms:W3CDTF">2026-06-13T22:59:36+03:00</dcterms:modified>
</cp:coreProperties>
</file>

<file path=docProps/custom.xml><?xml version="1.0" encoding="utf-8"?>
<Properties xmlns="http://schemas.openxmlformats.org/officeDocument/2006/custom-properties" xmlns:vt="http://schemas.openxmlformats.org/officeDocument/2006/docPropsVTypes"/>
</file>