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نفيس الدين الحراني
</w:t>
      </w:r>
    </w:p>
    <w:p>
      <w:pPr>
        <w:jc w:val="start"/>
        <w:bidi/>
      </w:pPr>
      <w:r>
        <w:rPr>
          <w:rFonts w:ascii="arial" w:hAnsi="arial" w:eastAsia="arial" w:cs="arial"/>
          <w:sz w:val="28"/>
          <w:szCs w:val="28"/>
          <w:b w:val="1"/>
          <w:bCs w:val="1"/>
          <w:rtl/>
        </w:rPr>
        <w:t xml:space="preserve">نفيس الدين الحراني
</w:t>
      </w:r>
    </w:p>
    <w:p>
      <w:pPr/>
      <w:r>
        <w:rPr/>
        <w:t xml:space="preserve">نفيس الدين الحراني إسماعيل بن محمد بن عبد الواحد بن إسماعيل بن علي بن صدقة العدل الرئيس نفيس الدين الحراني ثم الدمشقي ناظر الأيتام، ولد سنة ثمان وعشرين، وسمع الموطأ من مكرم وحدث وسمع بنفسه من ابن مسلمة وغيره، وله دار مليحة برصيف دمشق وقفها دار حديث وولى مشيختها تاج الدين الجعبري، وقرأ بها الشيخ علم الدين البرزالي ونزل بها الشيخ أبو الحسن الختني وجماعة. وتوفي سنة ثمان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2026-06-14T00:37:50+03:00</dcterms:created>
  <dcterms:modified xsi:type="dcterms:W3CDTF">2026-06-14T00:37:50+03:00</dcterms:modified>
</cp:coreProperties>
</file>

<file path=docProps/custom.xml><?xml version="1.0" encoding="utf-8"?>
<Properties xmlns="http://schemas.openxmlformats.org/officeDocument/2006/custom-properties" xmlns:vt="http://schemas.openxmlformats.org/officeDocument/2006/docPropsVTypes"/>
</file>