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وجيه الدين ابن المنجا
</w:t>
      </w:r>
    </w:p>
    <w:p>
      <w:pPr>
        <w:jc w:val="start"/>
        <w:bidi/>
      </w:pPr>
      <w:r>
        <w:rPr>
          <w:rFonts w:ascii="arial" w:hAnsi="arial" w:eastAsia="arial" w:cs="arial"/>
          <w:sz w:val="28"/>
          <w:szCs w:val="28"/>
          <w:b w:val="1"/>
          <w:bCs w:val="1"/>
          <w:rtl/>
        </w:rPr>
        <w:t xml:space="preserve">القاضي وجيه الدين ابن المنجا
</w:t>
      </w:r>
    </w:p>
    <w:p>
      <w:pPr/>
      <w:r>
        <w:rPr/>
        <w:t xml:space="preserve">القاضي وجيه الدين ابن المنجا أسعد بن المنجا بن بركات بن المؤمل أبو المعالي وجيه الدين ابن أبي المنجا التنوخي المعري الأصل الدمشقي المولد الفقيه الحنبلي، رحل إلى بغداد وتفقه بها وبرع في المذهب وولي قضاء حران في أواخر دولة نور الدين، ومن أجله بني الشيخ المسمار المسمارية ووقفها عليهم. صنف النهاية في شرح الهداية في بضعة عشر مجلدا وصنف الخلاصة. وتوفي سنة ست وستمائة. وأظنه جد صدر الدين المذكور قبل. وله شعر.</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2026-06-15T17:27:21+03:00</dcterms:created>
  <dcterms:modified xsi:type="dcterms:W3CDTF">2026-06-15T17:27:21+03:00</dcterms:modified>
</cp:coreProperties>
</file>

<file path=docProps/custom.xml><?xml version="1.0" encoding="utf-8"?>
<Properties xmlns="http://schemas.openxmlformats.org/officeDocument/2006/custom-properties" xmlns:vt="http://schemas.openxmlformats.org/officeDocument/2006/docPropsVTypes"/>
</file>