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منتجب الدين الواعظ
</w:t>
      </w:r>
    </w:p>
    <w:p>
      <w:pPr>
        <w:jc w:val="start"/>
        <w:bidi/>
      </w:pPr>
      <w:r>
        <w:rPr>
          <w:rFonts w:ascii="arial" w:hAnsi="arial" w:eastAsia="arial" w:cs="arial"/>
          <w:sz w:val="28"/>
          <w:szCs w:val="28"/>
          <w:b w:val="1"/>
          <w:bCs w:val="1"/>
          <w:rtl/>
        </w:rPr>
        <w:t xml:space="preserve">منتجب الدين الواعظ
</w:t>
      </w:r>
    </w:p>
    <w:p>
      <w:pPr/>
      <w:r>
        <w:rPr/>
        <w:t xml:space="preserve">منتجب الدين الواعظ أسعد ابن أبي الفضائل محمود بن خلف بن أحمد بن محمد العجلي الإصبهاني منتجب الدين الفقيه الشافعي الواعظ، كان من الفقهاء الفضلاء الموصوفين بالعلم والزهد مشهورا بالعبادة والنسك والقناعة لا يأكل إلا من كسب يده، وكان يورق ويبيع ما يتقوت به، وسمع ببلده من فاطمة الجوزذانية والحافظ أبي القاسم إسماعيل بن محمد بن الفضل وأبي الوفاء غانم بن أحمد بن حسن الجلودي وأبي الفضل عبد الرحيم بن أحمد بن محمد البغدادي وغيرهم، وقدم بغداد وسمع من أبي الفتح ابن البطي وغيره وعاد إلى بلده وتبحر ومهر واشتهر، وصنف عدة تصانيف: مشكلات الوسيط والوجيز للغزالي وتتمة التتمة للمتولي وكتاب آفات الوعاظ. وعليه كانت عمدة الفتوى بإصبهان. وتوفي سنة ستمائة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2026-06-15T17:25:29+03:00</dcterms:created>
  <dcterms:modified xsi:type="dcterms:W3CDTF">2026-06-15T17:25:29+03:00</dcterms:modified>
</cp:coreProperties>
</file>

<file path=docProps/custom.xml><?xml version="1.0" encoding="utf-8"?>
<Properties xmlns="http://schemas.openxmlformats.org/officeDocument/2006/custom-properties" xmlns:vt="http://schemas.openxmlformats.org/officeDocument/2006/docPropsVTypes"/>
</file>