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خطيب نيسابور الحنفي
</w:t>
      </w:r>
    </w:p>
    <w:p>
      <w:pPr>
        <w:jc w:val="start"/>
        <w:bidi/>
      </w:pPr>
      <w:r>
        <w:rPr>
          <w:rFonts w:ascii="arial" w:hAnsi="arial" w:eastAsia="arial" w:cs="arial"/>
          <w:sz w:val="28"/>
          <w:szCs w:val="28"/>
          <w:b w:val="1"/>
          <w:bCs w:val="1"/>
          <w:rtl/>
        </w:rPr>
        <w:t xml:space="preserve">خطيب نيسابور الحنفي
</w:t>
      </w:r>
    </w:p>
    <w:p>
      <w:pPr/>
      <w:r>
        <w:rPr/>
        <w:t xml:space="preserve">خطيب نيسابور الحنفي أسعد بن صاعد بن منصور بن إسماعيل بن صاعد بن محمد بن أحمد بن عبد الله بن محمد بن عبد الرحمن الحنفي أبو المعالي ابن أبي العلاء، خطيب نيسابور في المسجد الجامع القديم. قال محب الدين ابن النجار: والخطباء اليوم من أولاده. كان ممن نشأ في الخير والصلاح وطلب العلم من صباه إلى أوان الكهولة وبيته مشهور بالعلم والقضاء والخطابة والتدريس والتذكير، سمع أباه وجده وأبا المظفر موسى بن عمران الصوفي وأحمد بن علي بن خلف الشيرازي وغيرهم، وتوفي بعد العشرين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صاعد بن منصور بن إسماعيل بن صاعد بن محمد بن أحمد بن عبد الله
</w:t>
      </w:r>
    </w:p>
    <w:p>
      <w:pPr/>
      <w:r>
        <w:rPr/>
        <w:t xml:space="preserve">أسعد بن صاعد بن منصور بن إسماعيل بن صاعد بن محمد بن أحمد بن عبد الله بن محمد بن عبد الرحمن، أبو المعالي ابن أبي العلاء، ابن أبي القاسم، ابن أبي الحسين سمع أباه، وجده في جمع.</w:t>
      </w:r>
    </w:p>
    <w:p/>
    <w:p>
      <w:pPr/>
      <w:r>
        <w:rPr/>
        <w:t xml:space="preserve">وحدث ببغداد، فروى عنه من أهلها الشريف أبو المعمر المبارك بن أحمد الأنصاري، وأبو محمد عبد الرحيم بن محمد بن محمد بن الحسين بن الفراء.</w:t>
      </w:r>
    </w:p>
    <w:p/>
    <w:p>
      <w:pPr/>
      <w:r>
        <w:rPr/>
        <w:t xml:space="preserve">ذكره السمعاني، في ’’ ذيله ’’، وابن النجار، في ’’ تاريخه ’’.</w:t>
      </w:r>
    </w:p>
    <w:p/>
    <w:p>
      <w:pPr/>
      <w:r>
        <w:rPr/>
        <w:t xml:space="preserve">وهو من بيت كبير، مشهور بالعلم، والقضاء، والتذكير، والتدريس، والخطابة.</w:t>
      </w:r>
    </w:p>
    <w:p/>
    <w:p>
      <w:pPr/>
      <w:r>
        <w:rPr/>
        <w:t xml:space="preserve">وولى هو أيضا الخطابة في المسجد الجامع القديم، المختص بأصحاب أبي حنيفة رضي الله تعالى عنه، وكان إليه معها التذكير، والتدريس.</w:t>
      </w:r>
    </w:p>
    <w:p/>
    <w:p>
      <w:pPr/>
      <w:r>
        <w:rPr/>
        <w:t xml:space="preserve">وكانت وفاته، فيما رواه السمعاني، يوم السبت، سابع ذي القعدة، سنة سبع وعشرين وخمسمائة، بنيسابور، رحمه الله تعالى.</w:t>
      </w:r>
    </w:p>
    <w:p>
      <w:pPr>
        <w:jc w:val="start"/>
        <w:bidi/>
      </w:pPr>
      <w:r>
        <w:rPr>
          <w:sz w:val="24"/>
          <w:szCs w:val="24"/>
          <w:b w:val="1"/>
          <w:bCs w:val="1"/>
          <w:rtl/>
        </w:rPr>
        <w:t xml:space="preserve">
الطبقات السنية في تراجم الحنفية،(دار الرفاعي - الرياض،1983،ط 0،ج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2026-06-15T17:26:54+03:00</dcterms:created>
  <dcterms:modified xsi:type="dcterms:W3CDTF">2026-06-15T17:26:54+03:00</dcterms:modified>
</cp:coreProperties>
</file>

<file path=docProps/custom.xml><?xml version="1.0" encoding="utf-8"?>
<Properties xmlns="http://schemas.openxmlformats.org/officeDocument/2006/custom-properties" xmlns:vt="http://schemas.openxmlformats.org/officeDocument/2006/docPropsVTypes"/>
</file>