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خوارزم
</w:t>
      </w:r>
    </w:p>
    <w:p>
      <w:pPr>
        <w:jc w:val="start"/>
        <w:bidi/>
      </w:pPr>
      <w:r>
        <w:rPr>
          <w:rFonts w:ascii="arial" w:hAnsi="arial" w:eastAsia="arial" w:cs="arial"/>
          <w:sz w:val="28"/>
          <w:szCs w:val="28"/>
          <w:b w:val="1"/>
          <w:bCs w:val="1"/>
          <w:rtl/>
        </w:rPr>
        <w:t xml:space="preserve">صاحب خوارزم
</w:t>
      </w:r>
    </w:p>
    <w:p>
      <w:pPr/>
      <w:r>
        <w:rPr/>
        <w:t xml:space="preserve">صاحب خوارزم أرسلان بن خوارزم شاه اتسز بن محمد بن أنوشتكين رجع من قتال أمة الخطا مريضا فمات في سنة ثمان وستين وخمسمائة؛ وكان حاكما على خوارزم وأعمالها وتملك بعده ابنه سلطان شاه محمود وأما ابنه الآخر علاء الدين تكش وهو الأكبر كان مقيما بالجند فلما بلغه تملك أخيه الصغير غضب وقصد ملك الخطا واستمده فبعث معه جيشا فلما قاربوا خوارزم خرج سلطان شاه ووالدته إلى المؤيد صاحب نيسابور وتملك علاء الدين خوارزم وبلادها بغير قتال. وأما المؤيد فسار مع محمود فلما قارب خوارزم والتقوا انهزمت الخراسانية لما حميت الحرب وأسر المؤيد وقتل بين يدي علاء الدين صبرا وهرب محمود وأمه إلى دهستان فحاصرهم تكش وفتح البلد فهرب محمود وأمسكت أمه فقتلها تكش وقام بعد المؤيد ابنه طغان شاه أبو بكر وسار علاء الدين إلى ملك الغور فأكرمه.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2026-06-21T13:31:18+03:00</dcterms:created>
  <dcterms:modified xsi:type="dcterms:W3CDTF">2026-06-21T13:31:18+03:00</dcterms:modified>
</cp:coreProperties>
</file>

<file path=docProps/custom.xml><?xml version="1.0" encoding="utf-8"?>
<Properties xmlns="http://schemas.openxmlformats.org/officeDocument/2006/custom-properties" xmlns:vt="http://schemas.openxmlformats.org/officeDocument/2006/docPropsVTypes"/>
</file>