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القرميسني الصوفي
</w:t>
      </w:r>
    </w:p>
    <w:p>
      <w:pPr>
        <w:jc w:val="start"/>
        <w:bidi/>
      </w:pPr>
      <w:r>
        <w:rPr>
          <w:rFonts w:ascii="arial" w:hAnsi="arial" w:eastAsia="arial" w:cs="arial"/>
          <w:sz w:val="28"/>
          <w:szCs w:val="28"/>
          <w:b w:val="1"/>
          <w:bCs w:val="1"/>
          <w:rtl/>
        </w:rPr>
        <w:t xml:space="preserve">القرميسني الصوفي
</w:t>
      </w:r>
    </w:p>
    <w:p>
      <w:pPr/>
      <w:r>
        <w:rPr/>
        <w:t xml:space="preserve">القرميسني الصوفي أحمد بن يوسف بن علي بن يوسف بن الحسين ابن أبي بكر القرميسني التاجر أبو العباس الصوفي البغداذي. سافر صبيا وجال فيما بين العراق والشام وديار مصر وخراسان وما وراء النهر وبلاد الترك ودخل بلاد الهند وأقام بها نحو عشرين سنة، وكان يحكي العجائب. وسكن جزيرة سرنديب وتولى بها الخطابة ثم عاد إلى بغداذ بعد أن غاب عنها سفرة واحدة إحدى وثلاثين سنة. وكان يسكن برباط المأمونية. سمع الحديث بإفادة أخيه من محمد بن عمر بن يوسف الأرموي وأبي الفتح محمد بن عبد الباقي ابن البطي وغيرهما، وسمع بنيسابور وبمرو وبأصبهان وحدث باليسير. توفي بالموصل سنة سبع وتسعين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2026-06-22T03:13:25+03:00</dcterms:created>
  <dcterms:modified xsi:type="dcterms:W3CDTF">2026-06-22T03:13:25+03:00</dcterms:modified>
</cp:coreProperties>
</file>

<file path=docProps/custom.xml><?xml version="1.0" encoding="utf-8"?>
<Properties xmlns="http://schemas.openxmlformats.org/officeDocument/2006/custom-properties" xmlns:vt="http://schemas.openxmlformats.org/officeDocument/2006/docPropsVTypes"/>
</file>