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الحنبلي
</w:t>
      </w:r>
    </w:p>
    <w:p>
      <w:pPr>
        <w:jc w:val="start"/>
        <w:bidi/>
      </w:pPr>
      <w:r>
        <w:rPr>
          <w:rFonts w:ascii="arial" w:hAnsi="arial" w:eastAsia="arial" w:cs="arial"/>
          <w:sz w:val="28"/>
          <w:szCs w:val="28"/>
          <w:b w:val="1"/>
          <w:bCs w:val="1"/>
          <w:rtl/>
        </w:rPr>
        <w:t xml:space="preserve">ابن الصائغ الحنبلي
</w:t>
      </w:r>
    </w:p>
    <w:p>
      <w:pPr/>
      <w:r>
        <w:rPr/>
        <w:t xml:space="preserve">ابن الصائغ الحنبلي أحمد ابن أبي الوفاء بن عبد الرحمن بن عبد الصمد بن محمد أبو الفتح الفقيه الحنبلي المعروف بابن الصائغ. درس الفقه على أبي الخطاب الكلوذاني وحصل طرفا صالحا منه ومن أبي القاسم علي بن أحمد بن محمد بن بيان الرزاز وغيرهما، وسكن حلب مدة ثم انتقل إلى حران. وكان يدرس بها ويفتي وحدث بها وبحلب؛ وتوفي بحران سنة ست وسبعين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الصائغ الحنبلي
</w:t>
      </w:r>
    </w:p>
    <w:p>
      <w:pPr/>
      <w:r>
        <w:rPr/>
        <w:t xml:space="preserve">ابن الصائغ  الحنبلي أحمد بن أبي الوفاء.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الصائغ
</w:t>
      </w:r>
    </w:p>
    <w:p>
      <w:pPr/>
      <w:r>
        <w:rPr/>
        <w:t xml:space="preserve">ابن الصائغ الإمام المفتي، أبو الفتح أحمد بن أبي الوفاء بن عبد الرحمن بن عبد الصمد البغدادي الحنبلي، ابن الصائغ.</w:t>
      </w:r>
    </w:p>
    <w:p/>
    <w:p>
      <w:pPr/>
      <w:r>
        <w:rPr/>
        <w:t xml:space="preserve">عرف بغلام أبي الخطاب، لأنه خدمه، واشتغل عليه.</w:t>
      </w:r>
    </w:p>
    <w:p/>
    <w:p>
      <w:pPr/>
      <w:r>
        <w:rPr/>
        <w:t xml:space="preserve">ولد سنة تسعين وأربع مائة.</w:t>
      </w:r>
    </w:p>
    <w:p/>
    <w:p>
      <w:pPr/>
      <w:r>
        <w:rPr/>
        <w:t xml:space="preserve">وحدث بحران وحلب عن أبي القاسم بن بنان ’’بجزء ابن عرفة’’.</w:t>
      </w:r>
    </w:p>
    <w:p/>
    <w:p>
      <w:pPr/>
      <w:r>
        <w:rPr/>
        <w:t xml:space="preserve">حدث عنه: يوسف بن أحمد الشيرازي، والحافظ عبد الغني، وأبو القاسم بن صصرى، وإبراهيم بن أبي الحسن الزيات، وأخواه: بركات ومحمد، وعلي بن سلامة الخياط، وعمار بن عبد المنعم، والفقيه سليمان بن أحمد المقدسي وولده عبد الرزاق بن أحمد.</w:t>
      </w:r>
    </w:p>
    <w:p/>
    <w:p>
      <w:pPr/>
      <w:r>
        <w:rPr/>
        <w:t xml:space="preserve">قال ابن النجار: درس بحران، وأفتى، وتوفي سنة ست وسبعين وخمس مائة.</w:t>
      </w:r>
    </w:p>
    <w:p/>
    <w:p>
      <w:pPr/>
      <w:r>
        <w:rPr/>
        <w:t xml:space="preserve">قلت: وقيل سنة خمس.</w:t>
      </w:r>
    </w:p>
    <w:p>
      <w:pPr>
        <w:jc w:val="start"/>
        <w:bidi/>
      </w:pPr>
      <w:r>
        <w:rPr>
          <w:sz w:val="24"/>
          <w:szCs w:val="24"/>
          <w:b w:val="1"/>
          <w:bCs w:val="1"/>
          <w:rtl/>
        </w:rPr>
        <w:t xml:space="preserve">
سير أعلام النبلاء،(دار الحديث- القاهرة،2006،ط 0،ج 15،ص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2026-06-22T04:31:02+03:00</dcterms:created>
  <dcterms:modified xsi:type="dcterms:W3CDTF">2026-06-22T04:31:02+03:00</dcterms:modified>
</cp:coreProperties>
</file>

<file path=docProps/custom.xml><?xml version="1.0" encoding="utf-8"?>
<Properties xmlns="http://schemas.openxmlformats.org/officeDocument/2006/custom-properties" xmlns:vt="http://schemas.openxmlformats.org/officeDocument/2006/docPropsVTypes"/>
</file>