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الشعراني
</w:t>
      </w:r>
    </w:p>
    <w:p>
      <w:pPr>
        <w:jc w:val="start"/>
        <w:bidi/>
      </w:pPr>
      <w:r>
        <w:rPr>
          <w:rFonts w:ascii="arial" w:hAnsi="arial" w:eastAsia="arial" w:cs="arial"/>
          <w:sz w:val="28"/>
          <w:szCs w:val="28"/>
          <w:b w:val="1"/>
          <w:bCs w:val="1"/>
          <w:rtl/>
        </w:rPr>
        <w:t xml:space="preserve">أحمد الشعراني
</w:t>
      </w:r>
    </w:p>
    <w:p>
      <w:pPr/>
      <w:r>
        <w:rPr/>
        <w:t xml:space="preserve">أحمد الشعراني  أحمد بن علي الشعراني، شهاب الدين: والد عبد الوهاب صاحب الطبقات وغيرها، وأول شيوخه. توفي في ناحية ’’ ساقية أبي شعرة’’ بمصر، وإليها نسبته. كان له باع في إنشاء الخطب وله نظم وعلم بالفلك والفرائض. يعمل الدوائر. وأنشأ خطبة ليس فيها حرف الألف، أولها’’ حمدت ربي ورب كل مخلوق، بحمد عظيم، من قلب مومن صدوق سبح بحمده شجر ومدر وغيوم وبروق وشمس وقمر وبحر وبر في غروب مع شروق’’ قال ابنه: وصنف عدة مؤلفات في الحديث والنحو والأصول والمعاني والبيان، ونهبت كلها فلم يتغير، وقال: ألفناها لله فلا علينا أن ينسبها الناس إلينا أم لا. </w:t>
      </w:r>
    </w:p>
    <w:p>
      <w:pPr>
        <w:jc w:val="start"/>
        <w:bidi/>
      </w:pPr>
      <w:r>
        <w:rPr>
          <w:sz w:val="24"/>
          <w:szCs w:val="24"/>
          <w:b w:val="1"/>
          <w:bCs w:val="1"/>
          <w:rtl/>
        </w:rPr>
        <w:t xml:space="preserve">
الأعلام،(دار العلم للملايين - بيروت،2002،ط 15،ج 1،ص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2026-07-03T23:04:09+03:00</dcterms:created>
  <dcterms:modified xsi:type="dcterms:W3CDTF">2026-07-03T23:04:09+03:00</dcterms:modified>
</cp:coreProperties>
</file>

<file path=docProps/custom.xml><?xml version="1.0" encoding="utf-8"?>
<Properties xmlns="http://schemas.openxmlformats.org/officeDocument/2006/custom-properties" xmlns:vt="http://schemas.openxmlformats.org/officeDocument/2006/docPropsVTypes"/>
</file>