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الفرج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الفرج الرقي
</w:t>
      </w:r>
    </w:p>
    <w:p>
      <w:pPr/>
      <w:r>
        <w:rPr/>
        <w:t xml:space="preserve">القاضي أبو الفرج الرقي أحمد بن محمد أبو الفرج القاضي من أهل الرقة. قال محب الدين ابن النجار: قدم بغداذ وروى بها شيئا من شعره فيما زعم وروى عنه أبو محمد رزق الله بن عبد الوهاب التميمي قال: أنشدنا أبو الفرج القاضي الرقي، قدم علينا، لنفسه، وأنشدناها الوزير أبو القاسم المغربي لنفسه ولا أدري من الصادق منهما:</w:t>
      </w:r>
    </w:p>
    <w:p/>
    <w:p>
      <w:pPr>
        <w:jc w:val="center"/>
      </w:pPr>
      <w:r>
        <w:rPr>
          <w:color w:val="ff0000"/>
        </w:rPr>
        <w:t xml:space="preserve">هل لما فات من شبابي رجوع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 هو البين منه والتوديع</w:t>
      </w:r>
    </w:p>
    <w:p/>
    <w:p>
      <w:pPr>
        <w:jc w:val="center"/>
      </w:pPr>
      <w:r>
        <w:rPr>
          <w:color w:val="ff0000"/>
        </w:rPr>
        <w:t xml:space="preserve">قد لبسناه برهة ونزعنا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 وبالرغم كان ذاك النزوع</w:t>
      </w:r>
    </w:p>
    <w:p/>
    <w:p>
      <w:pPr>
        <w:jc w:val="center"/>
      </w:pPr>
      <w:r>
        <w:rPr>
          <w:color w:val="ff0000"/>
        </w:rPr>
        <w:t xml:space="preserve">ربع أحبابنا سقيت من المز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 كما قد سقتك منا الدموع</w:t>
      </w:r>
    </w:p>
    <w:p/>
    <w:p>
      <w:pPr/>
      <w:r>
        <w:rPr/>
        <w:t xml:space="preserve">انتهى. قلت: إذا دار الأمر بينهما فالوزير أقرب إلى الصدق.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2026-06-22T08:00:15+03:00</dcterms:created>
  <dcterms:modified xsi:type="dcterms:W3CDTF">2026-06-22T08:00:15+03:00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