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الموصلي الشافعي
</w:t>
      </w:r>
    </w:p>
    <w:p>
      <w:pPr>
        <w:jc w:val="start"/>
        <w:bidi/>
      </w:pPr>
      <w:r>
        <w:rPr>
          <w:rFonts w:ascii="arial" w:hAnsi="arial" w:eastAsia="arial" w:cs="arial"/>
          <w:sz w:val="28"/>
          <w:szCs w:val="28"/>
          <w:b w:val="1"/>
          <w:bCs w:val="1"/>
          <w:rtl/>
        </w:rPr>
        <w:t xml:space="preserve">أبو العباس الموصلي الشافعي
</w:t>
      </w:r>
    </w:p>
    <w:p>
      <w:pPr/>
      <w:r>
        <w:rPr/>
        <w:t xml:space="preserve">أبو العباس الموصلي الشافعي أحمد بن محمد أبو العباس النحوي الموصلي؛ كان إماما في النحو فقيها فاضلا عالما بمذهب الشافعي مفتيا، قرأ عليه ابن جني النحو بالموصل وقدم بغداذ وأقام بها. وكانت له حلقة في جامع المنصور قريبا من حلقة أبي حامد الأسفراييني وله كتاب في تعليل وجوه القراءات السبع التي جمعها أبو بكر ابن مجاهد.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2026-06-22T08:00:50+03:00</dcterms:created>
  <dcterms:modified xsi:type="dcterms:W3CDTF">2026-06-22T08:00:50+03:00</dcterms:modified>
</cp:coreProperties>
</file>

<file path=docProps/custom.xml><?xml version="1.0" encoding="utf-8"?>
<Properties xmlns="http://schemas.openxmlformats.org/officeDocument/2006/custom-properties" xmlns:vt="http://schemas.openxmlformats.org/officeDocument/2006/docPropsVTypes"/>
</file>