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دقاقة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دقاقة البصري
</w:t>
      </w:r>
    </w:p>
    <w:p>
      <w:pPr/>
      <w:r>
        <w:rPr/>
        <w:t xml:space="preserve">أبو دقاقة البصري أحمد بن محمد أبو دقاقة البصري من شعراء البرامكة ذكره محمد بن داود ابن الجراح وقال: كان جيد الشعر، ومن شعره:</w:t>
      </w:r>
    </w:p>
    <w:p/>
    <w:p>
      <w:pPr>
        <w:jc w:val="center"/>
      </w:pPr>
      <w:r>
        <w:rPr>
          <w:color w:val="ff0000"/>
        </w:rPr>
        <w:t xml:space="preserve">سأودع مالي الحمد والأجر كله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العيش في الدنيا ولا الملك دائم</w:t>
      </w:r>
    </w:p>
    <w:p/>
    <w:p>
      <w:pPr>
        <w:jc w:val="center"/>
      </w:pPr>
      <w:r>
        <w:rPr>
          <w:color w:val="ff0000"/>
        </w:rPr>
        <w:t xml:space="preserve">فرحت بما قطعت منه وإنني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حبس ما أمسكت منه لنادم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2026-06-22T07:58:07+03:00</dcterms:created>
  <dcterms:modified xsi:type="dcterms:W3CDTF">2026-06-22T07:58:07+03:00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