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ميمون المالكي
</w:t>
      </w:r>
    </w:p>
    <w:p>
      <w:pPr>
        <w:jc w:val="start"/>
        <w:bidi/>
      </w:pPr>
      <w:r>
        <w:rPr>
          <w:rFonts w:ascii="arial" w:hAnsi="arial" w:eastAsia="arial" w:cs="arial"/>
          <w:sz w:val="28"/>
          <w:szCs w:val="28"/>
          <w:b w:val="1"/>
          <w:bCs w:val="1"/>
          <w:rtl/>
        </w:rPr>
        <w:t xml:space="preserve">ابن ميمون المالكي
</w:t>
      </w:r>
    </w:p>
    <w:p>
      <w:pPr/>
      <w:r>
        <w:rPr/>
        <w:t xml:space="preserve">ابن ميمون المالكي أحمد بن محمد بن محمد بن عبيدة الأموي الطليطلي يعرف بابن ميمون صاحب أبي إسحاق ابن شنظبر ونظيره في الجمع والإكثار والملازمة معا، وهما الصاحبان. كان حافظا لرأي مالك دقيق الذهن في جميع العلوم محمودا محبوبا مع الزهد والفضل، وكتبه وكتب صاحبه بطليطلة أصح الكتب. توفي سنة 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2026-06-22T08:50:46+03:00</dcterms:created>
  <dcterms:modified xsi:type="dcterms:W3CDTF">2026-06-22T08:50:46+03:00</dcterms:modified>
</cp:coreProperties>
</file>

<file path=docProps/custom.xml><?xml version="1.0" encoding="utf-8"?>
<Properties xmlns="http://schemas.openxmlformats.org/officeDocument/2006/custom-properties" xmlns:vt="http://schemas.openxmlformats.org/officeDocument/2006/docPropsVTypes"/>
</file>