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الفضل بن جعفر بن محمد بن الجراح أبو بكر الخزاز
</w:t>
      </w:r>
    </w:p>
    <w:p>
      <w:pPr>
        <w:jc w:val="start"/>
        <w:bidi/>
      </w:pPr>
      <w:r>
        <w:rPr>
          <w:rFonts w:ascii="arial" w:hAnsi="arial" w:eastAsia="arial" w:cs="arial"/>
          <w:sz w:val="28"/>
          <w:szCs w:val="28"/>
          <w:b w:val="1"/>
          <w:bCs w:val="1"/>
          <w:rtl/>
        </w:rPr>
        <w:t xml:space="preserve">أبو بكر الخزاز
</w:t>
      </w:r>
    </w:p>
    <w:p>
      <w:pPr/>
      <w:r>
        <w:rPr/>
        <w:t xml:space="preserve">أبو بكر الخزاز أحمد بن محمد بن الفضل بن جعفر بن محمد بن الجراح أبو بكر الخزاز؛ سمع أبا بكر ابن دريد وأبا بكر ابن السراج وأبا بكر ابن الأنباري وروى كثيرا من تصانيفهم؛ ومات سنة إحدى وثمانين وثلاثمائة. وكان ثقة حسن الخط والإتقان والضبط فاضلا أديبا كثير الكتب حسن الحال ظاهر الثروة. روى عنه القاضي أبو العلاء الواسطي والصيمري والتنوخي وهلال ابن المحسن وأولاد الصابئ كلهم كثيرا من كتب الأدب. قال ياقوت: متصلة الرواية إلى الآن، وقد روى شيخنا أبو اليمن الكندي من طريقه عدة كتب أدبية. قال أبو القاسم التنوخي: سمعت ابن الجراح يقول: كتبي بعشرة آلاف درهم ودوابي بعشرة آلاف درهم. قال التنوخي: وكان أحد الفرسان يلبس أداته ويخرج إلى الميدان يطارد الفرسان.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2026-06-23T11:54:31+03:00</dcterms:created>
  <dcterms:modified xsi:type="dcterms:W3CDTF">2026-06-23T11:54:31+03:00</dcterms:modified>
</cp:coreProperties>
</file>

<file path=docProps/custom.xml><?xml version="1.0" encoding="utf-8"?>
<Properties xmlns="http://schemas.openxmlformats.org/officeDocument/2006/custom-properties" xmlns:vt="http://schemas.openxmlformats.org/officeDocument/2006/docPropsVTypes"/>
</file>