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ابن العز الحنبلي
</w:t>
      </w:r>
    </w:p>
    <w:p>
      <w:pPr>
        <w:jc w:val="start"/>
        <w:bidi/>
      </w:pPr>
      <w:r>
        <w:rPr>
          <w:rFonts w:ascii="arial" w:hAnsi="arial" w:eastAsia="arial" w:cs="arial"/>
          <w:sz w:val="28"/>
          <w:szCs w:val="28"/>
          <w:b w:val="1"/>
          <w:bCs w:val="1"/>
          <w:rtl/>
        </w:rPr>
        <w:t xml:space="preserve">تقي الدين ابن العز الحنبلي
</w:t>
      </w:r>
    </w:p>
    <w:p>
      <w:pPr/>
      <w:r>
        <w:rPr/>
        <w:t xml:space="preserve">تقي الدين ابن العز الحنبلي أحمد بن محمد بن عبد الغني بن عبد الواحد الإمام تقي الدين أبو العباس ابن العز المقدسي الحنبلي؛ اشتغل على جده لأمه موفق الدين حتى برع في المذهب. وحفظ الكافي لجده جميعه ودرس وأفتى ولم يكن في المقادسة في وقته أعلم منه بالمذهب، وروى عنه جماعة. توفي سنة ثلاث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2026-06-23T12:51:45+03:00</dcterms:created>
  <dcterms:modified xsi:type="dcterms:W3CDTF">2026-06-23T12:51:45+03:00</dcterms:modified>
</cp:coreProperties>
</file>

<file path=docProps/custom.xml><?xml version="1.0" encoding="utf-8"?>
<Properties xmlns="http://schemas.openxmlformats.org/officeDocument/2006/custom-properties" xmlns:vt="http://schemas.openxmlformats.org/officeDocument/2006/docPropsVTypes"/>
</file>