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موفق الدين التلسماني
</w:t>
      </w:r>
    </w:p>
    <w:p>
      <w:pPr>
        <w:jc w:val="start"/>
        <w:bidi/>
      </w:pPr>
      <w:r>
        <w:rPr>
          <w:rFonts w:ascii="arial" w:hAnsi="arial" w:eastAsia="arial" w:cs="arial"/>
          <w:sz w:val="28"/>
          <w:szCs w:val="28"/>
          <w:b w:val="1"/>
          <w:bCs w:val="1"/>
          <w:rtl/>
        </w:rPr>
        <w:t xml:space="preserve">موفق الدين التلسماني
</w:t>
      </w:r>
    </w:p>
    <w:p>
      <w:pPr/>
      <w:r>
        <w:rPr/>
        <w:t xml:space="preserve">موفق الدين التلسماني أحمد بن محمد بن عبد العزيز بن إسماعيل أبو الحسن الأنصاري الخزرجي التلمساني ثم المصري الشيخ موفق الدين. أدرك ابن رفاعة وكان يمكنه السماع منه، لكن كانت السنة ميتة بدولة بن عبيد، وسمع من البوصيري وجمع مجاميع في التصوف. وتوفي سنة ثلاث وثلاثين وستمائة. </w:t>
      </w:r>
    </w:p>
    <w:p>
      <w:pPr>
        <w:jc w:val="start"/>
        <w:bidi/>
      </w:pPr>
      <w:r>
        <w:rPr>
          <w:sz w:val="24"/>
          <w:szCs w:val="24"/>
          <w:b w:val="1"/>
          <w:bCs w:val="1"/>
          <w:rtl/>
        </w:rPr>
        <w:t xml:space="preserve">
الوافي بالوفيات،(دار فرانز شتاينر، فيسبادن، ألمانيا / دار إحياء التراث - بيروت،2000،ط 1،ج 8،ص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2026-06-23T12:49:20+03:00</dcterms:created>
  <dcterms:modified xsi:type="dcterms:W3CDTF">2026-06-23T12:49:20+03:00</dcterms:modified>
</cp:coreProperties>
</file>

<file path=docProps/custom.xml><?xml version="1.0" encoding="utf-8"?>
<Properties xmlns="http://schemas.openxmlformats.org/officeDocument/2006/custom-properties" xmlns:vt="http://schemas.openxmlformats.org/officeDocument/2006/docPropsVTypes"/>
</file>