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‌‌‌‌‌‌‌‌جراب الدولة
</w:t>
      </w:r>
    </w:p>
    <w:p>
      <w:pPr>
        <w:jc w:val="start"/>
        <w:bidi/>
      </w:pPr>
      <w:r>
        <w:rPr>
          <w:rFonts w:ascii="arial" w:hAnsi="arial" w:eastAsia="arial" w:cs="arial"/>
          <w:sz w:val="28"/>
          <w:szCs w:val="28"/>
          <w:b w:val="1"/>
          <w:bCs w:val="1"/>
          <w:rtl/>
        </w:rPr>
        <w:t xml:space="preserve">‌‌‌‌‌‌‌‌جراب الدولة
</w:t>
      </w:r>
    </w:p>
    <w:p>
      <w:pPr/>
      <w:r>
        <w:rPr/>
        <w:t xml:space="preserve">‌‌‌‌‌‌‌‌جراب الدولة أحمد بن محمد جراب الدولة؛ قال ياقوت: هو أحمد بن محمد بن علويه من أهل سجستان، يكنى أبا العباس، كان طنبوريا أحد الظرفاء كان في أيام المقتدر وأدرك دولة بني بويه فلذلك سمى نفسه بجراب الدولة لأنهم كانوا يفتخرون بالتسمية في الدولة؛ كان يلقب بالريح أيضا. وله كتاب ترويح الأرواح ومفتاح السرور والأفراح لم يصنف في فنه مثله اشتمالا على فنون الهزل والمضاحك.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2026-06-24T15:34:44+03:00</dcterms:created>
  <dcterms:modified xsi:type="dcterms:W3CDTF">2026-06-24T15:34:44+03:00</dcterms:modified>
</cp:coreProperties>
</file>

<file path=docProps/custom.xml><?xml version="1.0" encoding="utf-8"?>
<Properties xmlns="http://schemas.openxmlformats.org/officeDocument/2006/custom-properties" xmlns:vt="http://schemas.openxmlformats.org/officeDocument/2006/docPropsVTypes"/>
</file>