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سرهنك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سرهنك الكاتب
</w:t>
      </w:r>
    </w:p>
    <w:p>
      <w:pPr/>
      <w:r>
        <w:rPr/>
        <w:t xml:space="preserve">ابن سرهنك الكاتب أحمد بن محمد بن سرهنك الكاتب صاحب إنشاء ورسائل، بغداذي قدم تكريت. قال يحيى بن القاسم قاضي تكريت: كان فاضلا.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سرهنك
</w:t>
      </w:r>
    </w:p>
    <w:p>
      <w:pPr/>
      <w:r>
        <w:rPr/>
        <w:t xml:space="preserve">ابن سرهنك الكاتب، أحمد بن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2026-06-24T16:39:49+03:00</dcterms:created>
  <dcterms:modified xsi:type="dcterms:W3CDTF">2026-06-24T16:39:49+03:00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