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ابن الرفعة الشافعي
</w:t>
      </w:r>
    </w:p>
    <w:p>
      <w:pPr>
        <w:jc w:val="start"/>
        <w:bidi/>
      </w:pPr>
      <w:r>
        <w:rPr>
          <w:rFonts w:ascii="arial" w:hAnsi="arial" w:eastAsia="arial" w:cs="arial"/>
          <w:sz w:val="28"/>
          <w:szCs w:val="28"/>
          <w:b w:val="1"/>
          <w:bCs w:val="1"/>
          <w:rtl/>
        </w:rPr>
        <w:t xml:space="preserve">نجم الدين ابن الرفعة الشافعي
</w:t>
      </w:r>
    </w:p>
    <w:p>
      <w:pPr/>
      <w:r>
        <w:rPr/>
        <w:t xml:space="preserve">نجم الدين ابن الرفعة الشافعي أحمد بن محمد بن الرفعة نجم الدين شيخ الشافعية في عصره بمصر، كان إماما عالما قيما بمذهب الشافعي، شرح ’’التنبيه’’ في خمسة عشر مجلدا، وشرح ’’الوسيط’’؛ توفي في شهر رجب سنة عشر وسبع مائة وقد شاخ ودرس بالمعزية وحدث بشيء من تصانيفه، سمع من محيي الدين ابن الدميري وولي الحسبة بالقاهرة ولم يكمل شرح ’’الوسيط’’ وعاش خمسا وستين سنة،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2026-06-24T16:46:13+03:00</dcterms:created>
  <dcterms:modified xsi:type="dcterms:W3CDTF">2026-06-24T16:46:13+03:00</dcterms:modified>
</cp:coreProperties>
</file>

<file path=docProps/custom.xml><?xml version="1.0" encoding="utf-8"?>
<Properties xmlns="http://schemas.openxmlformats.org/officeDocument/2006/custom-properties" xmlns:vt="http://schemas.openxmlformats.org/officeDocument/2006/docPropsVTypes"/>
</file>