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عبد الله الجهمي
</w:t>
      </w:r>
    </w:p>
    <w:p>
      <w:pPr>
        <w:jc w:val="start"/>
        <w:bidi/>
      </w:pPr>
      <w:r>
        <w:rPr>
          <w:rFonts w:ascii="arial" w:hAnsi="arial" w:eastAsia="arial" w:cs="arial"/>
          <w:sz w:val="28"/>
          <w:szCs w:val="28"/>
          <w:b w:val="1"/>
          <w:bCs w:val="1"/>
          <w:rtl/>
        </w:rPr>
        <w:t xml:space="preserve">أبو عبد الله الجهمي
</w:t>
      </w:r>
    </w:p>
    <w:p>
      <w:pPr/>
      <w:r>
        <w:rPr/>
        <w:t xml:space="preserve">أبو عبد الله الجهمي أحمد بن محمد بن حميد بن ثور بن سليمان بن حفص بن عبد الله ابن أبي الجهم بن حذيفة العدوي القرشي من بني عدي بن كعب يعرف بالجهمي، نسبة إلى جده أبي الجهم، يكنى أبا عبد الله، حجازي نشأ بالعراق، وكان أديبا راوية شاعرا خبيث اللسان هجاء، وقع بينه وبين قوم من العمريين والعثمانيين كلام فذكر سلفهم بأقبح ذكر، فنهاه بعض العباسيين فذكر العباس بأقبح ذكر ورماه بأمر عظيم، وتشاهدوا عليه وأنهي خبره إلى المتوكل فأمر بضربه مائة سوط فضربه إياها إبراهيم بن إسحاق بن إبراهيم في مجلس العامة بسر من رأى، فلما فرغ من ضربه أنشأ يقول:</w:t>
      </w:r>
    </w:p>
    <w:p/>
    <w:p>
      <w:pPr>
        <w:jc w:val="center"/>
      </w:pPr>
      <w:r>
        <w:rPr>
          <w:color w:val="ff0000"/>
        </w:rPr>
        <w:t xml:space="preserve">تبرا الكلوم وينبت العشر</w:t>
      </w:r>
      <w:r>
        <w:rPr>
          <w:color w:val="ff0000"/>
        </w:rPr>
        <w:t xml:space="preserve">      </w:t>
      </w:r>
      <w:r>
        <w:rPr>
          <w:color w:val="ff0000"/>
        </w:rPr>
        <w:t xml:space="preserve">ولكل مورد غية صدر</w:t>
      </w:r>
    </w:p>
    <w:p/>
    <w:p>
      <w:pPr>
        <w:jc w:val="center"/>
      </w:pPr>
      <w:r>
        <w:rPr>
          <w:color w:val="ff0000"/>
        </w:rPr>
        <w:t xml:space="preserve">واللؤم في أثواب منبطح</w:t>
      </w:r>
      <w:r>
        <w:rPr>
          <w:color w:val="ff0000"/>
        </w:rPr>
        <w:t xml:space="preserve">      </w:t>
      </w:r>
      <w:r>
        <w:rPr>
          <w:color w:val="ff0000"/>
        </w:rPr>
        <w:t xml:space="preserve">لعبيده ما أورق الشجر</w:t>
      </w:r>
    </w:p>
    <w:p/>
    <w:p>
      <w:pPr/>
      <w:r>
        <w:rPr/>
        <w:t xml:space="preserve">وله من التصانيف: ’’كتاب أنساب قريش وأخبارها’’. كتاب ’’المعصومين’’. كتاب ’’المثالب’’. كتاب ’’الانتصار في الرد على الشعوبية’’. كتاب ’’فضائل مصر’’.</w:t>
      </w:r>
    </w:p>
    <w:p>
      <w:pPr>
        <w:jc w:val="start"/>
        <w:bidi/>
      </w:pPr>
      <w:r>
        <w:rPr>
          <w:sz w:val="24"/>
          <w:szCs w:val="24"/>
          <w:b w:val="1"/>
          <w:bCs w:val="1"/>
          <w:rtl/>
        </w:rPr>
        <w:t xml:space="preserve">
الوافي بالوفيات،(دار فرانز شتاينر، فيسبادن، ألمانيا / دار إحياء التراث - بيروت،2000،ط 1،ج 7،ص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2026-06-24T16:40:03+03:00</dcterms:created>
  <dcterms:modified xsi:type="dcterms:W3CDTF">2026-06-24T16:40:03+03:00</dcterms:modified>
</cp:coreProperties>
</file>

<file path=docProps/custom.xml><?xml version="1.0" encoding="utf-8"?>
<Properties xmlns="http://schemas.openxmlformats.org/officeDocument/2006/custom-properties" xmlns:vt="http://schemas.openxmlformats.org/officeDocument/2006/docPropsVTypes"/>
</file>