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صاحب عينتاب
</w:t>
      </w:r>
    </w:p>
    <w:p>
      <w:pPr>
        <w:jc w:val="start"/>
        <w:bidi/>
      </w:pPr>
      <w:r>
        <w:rPr>
          <w:rFonts w:ascii="arial" w:hAnsi="arial" w:eastAsia="arial" w:cs="arial"/>
          <w:sz w:val="28"/>
          <w:szCs w:val="28"/>
          <w:b w:val="1"/>
          <w:bCs w:val="1"/>
          <w:rtl/>
        </w:rPr>
        <w:t xml:space="preserve">الصالح صاحب عينتاب
</w:t>
      </w:r>
    </w:p>
    <w:p>
      <w:pPr/>
      <w:r>
        <w:rPr/>
        <w:t xml:space="preserve">الصالح صاحب عينتاب أحمد بن غازي بن يوسف بن أيوب الملك الصالح صلاح الدين ابن السلطان الملك الظاهر ابن السلطان الكبير صلاح الدين الأيوبي، صاحب عينتاب وعم السلطان الملك الناصر صاحب الشام، كان أكبر من أخيه العزيز وإنما أخروه عن سلطنة حلب لأنه ابن جارية ولأن العزيز ابن الصاحبة بنت العادل، وتزوج هذا بعد موت أخيه بامرأته فاطمة بنت الكامل، وكان مهيبا وقورا متجملا وافر الحرمة، حدث عن الافتخار الهاشمي وروى عنه الدمياطي وذكر أنه امتنع من الرواية وقال: ما أنا أهل لذلك بل أنا أسمع عليك، ثم سمع منه ووصله، ولد الصالح سنة ست مائة، وتوفي سنة إحدى وخمسين وست مائة بعينتاب، وعمل له الناصر العزاء بدار السعادة، ورثاه الشعراء، وخلف ولدا ذكرا.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صاحب عينتاب
</w:t>
      </w:r>
    </w:p>
    <w:p>
      <w:pPr/>
      <w:r>
        <w:rPr/>
        <w:t xml:space="preserve">الصالح صاحب عينتاب أحمد بن غازي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2026-06-27T01:02:24+03:00</dcterms:created>
  <dcterms:modified xsi:type="dcterms:W3CDTF">2026-06-27T01:02:24+03:00</dcterms:modified>
</cp:coreProperties>
</file>

<file path=docProps/custom.xml><?xml version="1.0" encoding="utf-8"?>
<Properties xmlns="http://schemas.openxmlformats.org/officeDocument/2006/custom-properties" xmlns:vt="http://schemas.openxmlformats.org/officeDocument/2006/docPropsVTypes"/>
</file>