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تقي الدين الحنبلي
</w:t>
      </w:r>
    </w:p>
    <w:p>
      <w:pPr>
        <w:jc w:val="start"/>
        <w:bidi/>
      </w:pPr>
      <w:r>
        <w:rPr>
          <w:rFonts w:ascii="arial" w:hAnsi="arial" w:eastAsia="arial" w:cs="arial"/>
          <w:sz w:val="28"/>
          <w:szCs w:val="28"/>
          <w:b w:val="1"/>
          <w:bCs w:val="1"/>
          <w:rtl/>
        </w:rPr>
        <w:t xml:space="preserve">قاضي القضاة تقي الدين الحنبلي
</w:t>
      </w:r>
    </w:p>
    <w:p>
      <w:pPr/>
      <w:r>
        <w:rPr/>
        <w:t xml:space="preserve">قاضي القضاة تقي الدين الحنبلي أحمد بن عمر بن عبد الله قاضي القضاة تقي الدين أبو العباس ابن قاضي القضاة عز الدين أبي حفص المقدسي الحنبلي، تولى هو وأبوه قضاء القضاة بالديار المصرية للحنابلة، أجاز لي بخطه بالقاهرة سنة ثمان وعشرين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2026-06-27T01:07:19+03:00</dcterms:created>
  <dcterms:modified xsi:type="dcterms:W3CDTF">2026-06-27T01:07:19+03:00</dcterms:modified>
</cp:coreProperties>
</file>

<file path=docProps/custom.xml><?xml version="1.0" encoding="utf-8"?>
<Properties xmlns="http://schemas.openxmlformats.org/officeDocument/2006/custom-properties" xmlns:vt="http://schemas.openxmlformats.org/officeDocument/2006/docPropsVTypes"/>
</file>