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الضبعي
</w:t>
      </w:r>
    </w:p>
    <w:p>
      <w:pPr/>
      <w:r>
        <w:rPr/>
        <w:t xml:space="preserve">أبو بكر الضبعي أحمد بن علي الضبعي ذكره الثعالبي في ’’تتمة اليتيمة’’ وقال: من أهل البيوتات بنيسابور، كان يجمع أدبا وظرفا ويناسب شعره روحه خفة ويخرج في الشعرة من القشرة، فاختضر في عنفوان شبابه وأورد له:</w:t>
      </w:r>
    </w:p>
    <w:p/>
    <w:p>
      <w:pPr>
        <w:jc w:val="center"/>
      </w:pPr>
      <w:r>
        <w:rPr>
          <w:color w:val="ff0000"/>
        </w:rPr>
        <w:t xml:space="preserve">رحم الله من رأى نظم شعري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فدعا لي بما أشرت إليه</w:t>
      </w:r>
    </w:p>
    <w:p/>
    <w:p>
      <w:pPr>
        <w:jc w:val="center"/>
      </w:pPr>
      <w:r>
        <w:rPr>
          <w:color w:val="ff0000"/>
        </w:rPr>
        <w:t xml:space="preserve">قال يا رب نجني من هواه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فرد الذي يحب عليه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باكر أبا بكر بكاس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واشرب على ورد وآس</w:t>
      </w:r>
    </w:p>
    <w:p/>
    <w:p>
      <w:pPr>
        <w:jc w:val="center"/>
      </w:pPr>
      <w:r>
        <w:rPr>
          <w:color w:val="ff0000"/>
        </w:rPr>
        <w:t xml:space="preserve">واخلع عذارك جامحا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بين إبريق وطاس</w:t>
      </w:r>
    </w:p>
    <w:p/>
    <w:p>
      <w:pPr>
        <w:jc w:val="center"/>
      </w:pPr>
      <w:r>
        <w:rPr>
          <w:color w:val="ff0000"/>
        </w:rPr>
        <w:t xml:space="preserve">فالعيش عيش ذوي 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والدين دين أبي نواس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2026-06-27T02:05:10+03:00</dcterms:created>
  <dcterms:modified xsi:type="dcterms:W3CDTF">2026-06-27T02:05:10+03:00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