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الطباع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الطباع المقرئ
</w:t>
      </w:r>
    </w:p>
    <w:p>
      <w:pPr/>
      <w:r>
        <w:rPr/>
        <w:t xml:space="preserve">ابن الطباع المقرئ أحمد بن علي بن محمد بن أحمد بن عيسى العلامة الشهير الخطيب البليغ أبو جعفر ابن الطباع -بالطاء المهملة والباء الموحدة المشددة وبعد الألف عين مهملة- الرعيني الأندلسي شيخ القراء بغرناطة، مولده بعد الست مائة، قرأ بالروايات على الخطيب عبد الله بن محمد الكواب -بالواو المشددة بعد الكاف والباء الموحدة بعد الألف- وولي القضاء كرها فحكم حكومة واحدة وعزل نفسه، وأخذ عنه القراءات شيخنا الحافظ العلامة أبو حيان وأبو القاسم ابن سهل، وتوفي سنة ثمانين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الطباع المقرئ
</w:t>
      </w:r>
    </w:p>
    <w:p>
      <w:pPr/>
      <w:r>
        <w:rPr/>
        <w:t xml:space="preserve">ابن الطباع المقرئ اسمه أحمد بن علي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2026-06-27T02:17:32+03:00</dcterms:created>
  <dcterms:modified xsi:type="dcterms:W3CDTF">2026-06-27T02:17:32+03:00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