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
</w:t>
      </w:r>
    </w:p>
    <w:p>
      <w:pPr/>
      <w:r>
        <w:rPr/>
        <w:t xml:space="preserve">أبو الهيذام  كلاب (بفتح الكاف وتشديد اللام)بن حمزة العقيلي، أبو الهيذام: شاعر، من علماء اللغة. من أهل ’’حران’’ أقام بالبادية. قال السيوطي: دخل بغداد أيام القاسم بن عبيد الله (المتوفي سنة 291) ومدحه. وروي له المرزباني أبياتا من قصيدة، في رثاء يحيى بن أبي منصور المنجم (المتوفي سنة 230) منها:</w:t>
      </w:r>
    </w:p>
    <w:p/>
    <w:p>
      <w:pPr>
        <w:jc w:val="center"/>
      </w:pPr>
      <w:r>
        <w:rPr>
          <w:color w:val="ff0000"/>
        </w:rPr>
        <w:t xml:space="preserve">فما زال حكم البيض والسود نافذا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بحكم الدى في أنفس البيض والسود</w:t>
      </w:r>
    </w:p>
    <w:p/>
    <w:p>
      <w:pPr/>
      <w:r>
        <w:rPr/>
        <w:t xml:space="preserve">يعني في الشطر الأول الأيام والليالي، وفي الثاني الناس. له كتب، منها ’’ ما يلحن فيه العامة’’ و’’جامع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 اللغوي
</w:t>
      </w:r>
    </w:p>
    <w:p>
      <w:pPr/>
      <w:r>
        <w:rPr/>
        <w:t xml:space="preserve">أبو الهيذام اللغوي كلاب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2026-07-23T18:52:07+03:00</dcterms:created>
  <dcterms:modified xsi:type="dcterms:W3CDTF">2026-07-23T18:52:07+03:00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