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قاضي الطيب
</w:t>
      </w:r>
    </w:p>
    <w:p>
      <w:pPr>
        <w:jc w:val="start"/>
        <w:bidi/>
      </w:pPr>
      <w:r>
        <w:rPr>
          <w:rFonts w:ascii="arial" w:hAnsi="arial" w:eastAsia="arial" w:cs="arial"/>
          <w:sz w:val="28"/>
          <w:szCs w:val="28"/>
          <w:b w:val="1"/>
          <w:bCs w:val="1"/>
          <w:rtl/>
        </w:rPr>
        <w:t xml:space="preserve">قاضي الطيب
</w:t>
      </w:r>
    </w:p>
    <w:p>
      <w:pPr/>
      <w:r>
        <w:rPr/>
        <w:t xml:space="preserve">قاضي الطيب أحمد بن علي بن أحمد بن محمد بن الفضل بن بهمن بن النجار أبو العباس الفقيه الشافعي من أهل الطيب، دخل بغداذ واستوطنها وتفقه على أبي إسحاق الشيرازي وسمع بها الحديث من عبد الصمد بن علي بن المأمون ومحمد بن علي بن المهتدي وغيرهما وحدث باليسير، ولي قضاء الطيب وتوجه إليها وسكنها إلى أن استشهد بها بعد سنة خمس مائة ومولده سنة أربع وأربعين.</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2026-06-27T05:36:17+03:00</dcterms:created>
  <dcterms:modified xsi:type="dcterms:W3CDTF">2026-06-27T05:36:17+03:00</dcterms:modified>
</cp:coreProperties>
</file>

<file path=docProps/custom.xml><?xml version="1.0" encoding="utf-8"?>
<Properties xmlns="http://schemas.openxmlformats.org/officeDocument/2006/custom-properties" xmlns:vt="http://schemas.openxmlformats.org/officeDocument/2006/docPropsVTypes"/>
</file>