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مامة
</w:t>
      </w:r>
    </w:p>
    <w:p>
      <w:pPr/>
      <w:r>
        <w:rPr/>
        <w:t xml:space="preserve">كعب بن مامة  كعب بن مامة بن عمرو بن ثعلبة الإيادي، أبو دؤاد: كريم، جاهلي. يضرب به المثل في حسن الجوار، فيقال: ’’أجود من كعب بن مامة’’ و’’جار كجار أبي دؤاد!’’. وهو صاحب القصة المشهورة في الإيثار:’’ إسق أخاك النمري’’ قال أبو عبيدة: أجواد العرب ثلاثة: كعب بن مامة، وحاتم طيئ، وهرم بن سنان.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2026-07-23T18:52:07+03:00</dcterms:created>
  <dcterms:modified xsi:type="dcterms:W3CDTF">2026-07-23T18:52:07+03:00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