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الواعظ
</w:t>
      </w:r>
    </w:p>
    <w:p>
      <w:pPr>
        <w:jc w:val="start"/>
        <w:bidi/>
      </w:pPr>
      <w:r>
        <w:rPr>
          <w:rFonts w:ascii="arial" w:hAnsi="arial" w:eastAsia="arial" w:cs="arial"/>
          <w:sz w:val="28"/>
          <w:szCs w:val="28"/>
          <w:b w:val="1"/>
          <w:bCs w:val="1"/>
          <w:rtl/>
        </w:rPr>
        <w:t xml:space="preserve">أبو منصور الواعظ
</w:t>
      </w:r>
    </w:p>
    <w:p>
      <w:pPr/>
      <w:r>
        <w:rPr/>
        <w:t xml:space="preserve">أبو منصور الواعظ أحمد بن عبد الوهاب بن موسى الشيرازي أبو منصور الشافعي الواعظ، قرأ الفقه على أبي إسحاق الشيرازي وكان مليح الوعظ يغسل الموتى، سمع أحمد بن محمد بن عبدوس السراج والحسن بن علي الجوهري وغيرهما، روى محمد بن طاهر الحافظ المقدسي في ’’معجم البلدان’’ أنه توفي في سنة الجرف طعن من روائح الموتى الذين غسلهم وخلف من سلب الموتى شيئا كثيرا، 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2026-06-28T08:49:35+03:00</dcterms:created>
  <dcterms:modified xsi:type="dcterms:W3CDTF">2026-06-28T08:49:35+03:00</dcterms:modified>
</cp:coreProperties>
</file>

<file path=docProps/custom.xml><?xml version="1.0" encoding="utf-8"?>
<Properties xmlns="http://schemas.openxmlformats.org/officeDocument/2006/custom-properties" xmlns:vt="http://schemas.openxmlformats.org/officeDocument/2006/docPropsVTypes"/>
</file>