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الجوراني
</w:t>
      </w:r>
    </w:p>
    <w:p>
      <w:pPr>
        <w:jc w:val="start"/>
        <w:bidi/>
      </w:pPr>
      <w:r>
        <w:rPr>
          <w:rFonts w:ascii="arial" w:hAnsi="arial" w:eastAsia="arial" w:cs="arial"/>
          <w:sz w:val="28"/>
          <w:szCs w:val="28"/>
          <w:b w:val="1"/>
          <w:bCs w:val="1"/>
          <w:rtl/>
        </w:rPr>
        <w:t xml:space="preserve">تقي الدين الجوراني
</w:t>
      </w:r>
    </w:p>
    <w:p>
      <w:pPr/>
      <w:r>
        <w:rPr/>
        <w:t xml:space="preserve">تقي الدين الجوراني أحمد بن عبد الواحد بن مري بن عبد الواحد الشيخ الزاهد تقي الدين أبو العباس المقدسي الحوراني، ولد سنة ثلاث وثمانين وسمع بحلب من الافتخار وحدث، روى عنه الدمياطي والشريف عز الدين والدواداري ورضي الدين الطبري وهذه الطبقة، وكان فقيها شافعيا عارفا بالفرائض جامعا بين العلم والعمل صاحب تجرد وانقطاع وأوراد، ولي إعادة المستنصرية ببغداذ ثم تزهد وأقبل على شأنه وجاور بمكة، وكان يحط على ابن سبعين وينكر طريقه وابن سبعين يرميه بالتجسيم، توفي بالمدينة سنة سبع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2026-06-28T08:32:56+03:00</dcterms:created>
  <dcterms:modified xsi:type="dcterms:W3CDTF">2026-06-28T08:32:56+03:00</dcterms:modified>
</cp:coreProperties>
</file>

<file path=docProps/custom.xml><?xml version="1.0" encoding="utf-8"?>
<Properties xmlns="http://schemas.openxmlformats.org/officeDocument/2006/custom-properties" xmlns:vt="http://schemas.openxmlformats.org/officeDocument/2006/docPropsVTypes"/>
</file>