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الصنديد العراقي
</w:t>
      </w:r>
    </w:p>
    <w:p>
      <w:pPr>
        <w:jc w:val="start"/>
        <w:bidi/>
      </w:pPr>
      <w:r>
        <w:rPr>
          <w:rFonts w:ascii="arial" w:hAnsi="arial" w:eastAsia="arial" w:cs="arial"/>
          <w:sz w:val="28"/>
          <w:szCs w:val="28"/>
          <w:b w:val="1"/>
          <w:bCs w:val="1"/>
          <w:rtl/>
        </w:rPr>
        <w:t xml:space="preserve">ابن الصنديد العراقي
</w:t>
      </w:r>
    </w:p>
    <w:p>
      <w:pPr/>
      <w:r>
        <w:rPr/>
        <w:t xml:space="preserve">ابن الصنديد العراقي أحمد بن الصنديد العراقي يكنى أبا مالك، كان من أهل الأدب والشعر، روى شعر المعري عنه وله فيه شرح وله مع الحصري مناقضات، دخل الأندلس وكان عند بني طاهر ومدح الرؤساء والأكابر.</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الصنديد العراقي
</w:t>
      </w:r>
    </w:p>
    <w:p>
      <w:pPr/>
      <w:r>
        <w:rPr/>
        <w:t xml:space="preserve">أحمد بن الصنديد العراقي يكنى أبا مالك، كان من أهل الأدب والشعر، روى شعر المعري عنه وله فيه شرح، وله مع الحصري مناقضات، دخل الاندلس وكان عند بني طاهر ومدح الرؤساء والأكابر.</w:t>
      </w:r>
    </w:p>
    <w:p>
      <w:pPr>
        <w:jc w:val="start"/>
        <w:bidi/>
      </w:pPr>
      <w:r>
        <w:rPr>
          <w:sz w:val="24"/>
          <w:szCs w:val="24"/>
          <w:b w:val="1"/>
          <w:bCs w:val="1"/>
          <w:rtl/>
        </w:rPr>
        <w:t xml:space="preserve">
معجم الأدباء / إرشاد الأريب إلى معرفة الأديب،(دار الغرب الإسلامي - بيروت،1993،ط 0،ج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2026-06-29T16:40:46+03:00</dcterms:created>
  <dcterms:modified xsi:type="dcterms:W3CDTF">2026-06-29T16:40:46+03:00</dcterms:modified>
</cp:coreProperties>
</file>

<file path=docProps/custom.xml><?xml version="1.0" encoding="utf-8"?>
<Properties xmlns="http://schemas.openxmlformats.org/officeDocument/2006/custom-properties" xmlns:vt="http://schemas.openxmlformats.org/officeDocument/2006/docPropsVTypes"/>
</file>